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82694E" w14:textId="2F69284F" w:rsidR="006D3A53" w:rsidRPr="00B56577" w:rsidRDefault="006D3A53" w:rsidP="00C3732D">
      <w:pPr>
        <w:pStyle w:val="Heading1"/>
        <w:rPr>
          <w:rFonts w:ascii="Lato" w:hAnsi="Lato"/>
        </w:rPr>
      </w:pPr>
      <w:r w:rsidRPr="00B56577">
        <w:rPr>
          <w:rFonts w:ascii="Lato" w:hAnsi="Lato"/>
        </w:rPr>
        <w:t>Summary Information</w:t>
      </w:r>
    </w:p>
    <w:tbl>
      <w:tblPr>
        <w:tblW w:w="0" w:type="auto"/>
        <w:tblLook w:val="0480" w:firstRow="0" w:lastRow="0" w:firstColumn="1" w:lastColumn="0" w:noHBand="0" w:noVBand="1"/>
      </w:tblPr>
      <w:tblGrid>
        <w:gridCol w:w="2998"/>
        <w:gridCol w:w="7990"/>
      </w:tblGrid>
      <w:tr w:rsidR="00156F7C" w:rsidRPr="00B56577" w14:paraId="0CE5EFCA" w14:textId="77777777" w:rsidTr="009E63EB">
        <w:trPr>
          <w:cantSplit/>
          <w:trHeight w:val="20"/>
        </w:trPr>
        <w:tc>
          <w:tcPr>
            <w:tcW w:w="0" w:type="auto"/>
            <w:vAlign w:val="center"/>
          </w:tcPr>
          <w:p w14:paraId="3556C53A" w14:textId="7C2CA956" w:rsidR="00156F7C" w:rsidRPr="00B56577" w:rsidRDefault="00156F7C" w:rsidP="009E63EB">
            <w:pPr>
              <w:pStyle w:val="BodyTextBold"/>
              <w:jc w:val="right"/>
              <w:rPr>
                <w:rFonts w:ascii="Lato" w:hAnsi="Lato"/>
              </w:rPr>
            </w:pPr>
            <w:r w:rsidRPr="00B56577">
              <w:rPr>
                <w:rFonts w:ascii="Lato" w:hAnsi="Lato"/>
              </w:rPr>
              <w:t>Topic:</w:t>
            </w:r>
          </w:p>
        </w:tc>
        <w:tc>
          <w:tcPr>
            <w:tcW w:w="0" w:type="auto"/>
            <w:vAlign w:val="center"/>
          </w:tcPr>
          <w:p w14:paraId="5CD906C7" w14:textId="2392B217" w:rsidR="00156F7C" w:rsidRPr="00B56577" w:rsidRDefault="00DA6039" w:rsidP="009E63EB">
            <w:pPr>
              <w:pStyle w:val="BodyTextBold"/>
              <w:rPr>
                <w:rFonts w:ascii="Lato" w:hAnsi="Lato"/>
                <w:b w:val="0"/>
              </w:rPr>
            </w:pPr>
            <w:r w:rsidRPr="00DA6039">
              <w:rPr>
                <w:rFonts w:ascii="Lato" w:hAnsi="Lato"/>
                <w:b w:val="0"/>
              </w:rPr>
              <w:t>DP218 ‘Review of the SEC Charging Methodology’</w:t>
            </w:r>
            <w:r>
              <w:rPr>
                <w:rFonts w:ascii="Lato" w:hAnsi="Lato"/>
                <w:b w:val="0"/>
              </w:rPr>
              <w:t xml:space="preserve"> Request for Information (RFI)</w:t>
            </w:r>
          </w:p>
        </w:tc>
      </w:tr>
      <w:tr w:rsidR="00E218D7" w:rsidRPr="00B56577" w14:paraId="7DADE0EA" w14:textId="77777777" w:rsidTr="009E63EB">
        <w:trPr>
          <w:cantSplit/>
          <w:trHeight w:val="20"/>
        </w:trPr>
        <w:tc>
          <w:tcPr>
            <w:tcW w:w="0" w:type="auto"/>
            <w:vAlign w:val="center"/>
          </w:tcPr>
          <w:p w14:paraId="045E4C98" w14:textId="011E22E0" w:rsidR="00E218D7" w:rsidRPr="00B56577" w:rsidRDefault="00156F7C" w:rsidP="009E63EB">
            <w:pPr>
              <w:pStyle w:val="BodyTextBold"/>
              <w:jc w:val="right"/>
              <w:rPr>
                <w:rFonts w:ascii="Lato" w:hAnsi="Lato"/>
              </w:rPr>
            </w:pPr>
            <w:r w:rsidRPr="00B56577">
              <w:rPr>
                <w:rFonts w:ascii="Lato" w:hAnsi="Lato"/>
              </w:rPr>
              <w:t>Due Date:</w:t>
            </w:r>
          </w:p>
        </w:tc>
        <w:tc>
          <w:tcPr>
            <w:tcW w:w="0" w:type="auto"/>
            <w:vAlign w:val="center"/>
          </w:tcPr>
          <w:p w14:paraId="30AD2695" w14:textId="64A9D598" w:rsidR="00E218D7" w:rsidRPr="00B56577" w:rsidRDefault="00BD0222" w:rsidP="009E63EB">
            <w:pPr>
              <w:pStyle w:val="BodyTextBold"/>
              <w:rPr>
                <w:rFonts w:ascii="Lato" w:hAnsi="Lato"/>
                <w:b w:val="0"/>
              </w:rPr>
            </w:pPr>
            <w:r>
              <w:rPr>
                <w:rFonts w:ascii="Lato" w:hAnsi="Lato"/>
                <w:b w:val="0"/>
              </w:rPr>
              <w:t>25</w:t>
            </w:r>
            <w:r w:rsidR="00FF59EF" w:rsidRPr="00B56577">
              <w:rPr>
                <w:rFonts w:ascii="Lato" w:hAnsi="Lato"/>
                <w:b w:val="0"/>
              </w:rPr>
              <w:t xml:space="preserve"> </w:t>
            </w:r>
            <w:r w:rsidR="00DA6039">
              <w:rPr>
                <w:rFonts w:ascii="Lato" w:hAnsi="Lato"/>
                <w:b w:val="0"/>
              </w:rPr>
              <w:t>June</w:t>
            </w:r>
            <w:r w:rsidR="00AA7EDE" w:rsidRPr="00B56577">
              <w:rPr>
                <w:rFonts w:ascii="Lato" w:hAnsi="Lato"/>
                <w:b w:val="0"/>
              </w:rPr>
              <w:t xml:space="preserve"> 2024</w:t>
            </w:r>
          </w:p>
        </w:tc>
      </w:tr>
      <w:tr w:rsidR="00233DEA" w:rsidRPr="00B56577" w14:paraId="4497CC0A" w14:textId="77777777" w:rsidTr="009E63EB">
        <w:trPr>
          <w:cantSplit/>
          <w:trHeight w:val="20"/>
        </w:trPr>
        <w:tc>
          <w:tcPr>
            <w:tcW w:w="0" w:type="auto"/>
            <w:vAlign w:val="center"/>
          </w:tcPr>
          <w:p w14:paraId="09B86D7E" w14:textId="2080C760" w:rsidR="00233DEA" w:rsidRPr="00B56577" w:rsidRDefault="00233DEA" w:rsidP="009E63EB">
            <w:pPr>
              <w:pStyle w:val="BodyTextBold"/>
              <w:jc w:val="right"/>
              <w:rPr>
                <w:rFonts w:ascii="Lato" w:hAnsi="Lato"/>
              </w:rPr>
            </w:pPr>
            <w:r w:rsidRPr="00B56577">
              <w:rPr>
                <w:rFonts w:ascii="Lato" w:hAnsi="Lato"/>
              </w:rPr>
              <w:t>DCC Contact</w:t>
            </w:r>
          </w:p>
        </w:tc>
        <w:tc>
          <w:tcPr>
            <w:tcW w:w="0" w:type="auto"/>
            <w:vAlign w:val="center"/>
          </w:tcPr>
          <w:p w14:paraId="034D3931" w14:textId="344B71CB" w:rsidR="0086498F" w:rsidRPr="00B56577" w:rsidRDefault="00000000" w:rsidP="0086498F">
            <w:pPr>
              <w:pStyle w:val="BodyTextBold"/>
              <w:rPr>
                <w:rFonts w:ascii="Lato" w:hAnsi="Lato"/>
                <w:b w:val="0"/>
              </w:rPr>
            </w:pPr>
            <w:hyperlink r:id="rId12" w:history="1">
              <w:r w:rsidR="0086498F" w:rsidRPr="00B56577">
                <w:rPr>
                  <w:rStyle w:val="Hyperlink"/>
                  <w:rFonts w:ascii="Lato" w:hAnsi="Lato"/>
                </w:rPr>
                <w:t>consultations@smartdcc.co.uk</w:t>
              </w:r>
            </w:hyperlink>
            <w:hyperlink r:id="rId13" w:history="1"/>
            <w:r w:rsidR="00B86663" w:rsidRPr="00B56577">
              <w:rPr>
                <w:rFonts w:ascii="Lato" w:hAnsi="Lato"/>
                <w:b w:val="0"/>
              </w:rPr>
              <w:t xml:space="preserve"> </w:t>
            </w:r>
          </w:p>
        </w:tc>
      </w:tr>
      <w:tr w:rsidR="00F3668C" w:rsidRPr="00B56577" w14:paraId="35E4BAFE" w14:textId="77777777" w:rsidTr="009E63EB">
        <w:trPr>
          <w:cantSplit/>
          <w:trHeight w:val="20"/>
        </w:trPr>
        <w:tc>
          <w:tcPr>
            <w:tcW w:w="0" w:type="auto"/>
            <w:vAlign w:val="center"/>
          </w:tcPr>
          <w:p w14:paraId="40E02368" w14:textId="75A64786" w:rsidR="00F3668C" w:rsidRPr="00B56577" w:rsidRDefault="00F3668C" w:rsidP="009E63EB">
            <w:pPr>
              <w:pStyle w:val="BodyTextBold"/>
              <w:jc w:val="right"/>
              <w:rPr>
                <w:rFonts w:ascii="Lato" w:hAnsi="Lato"/>
              </w:rPr>
            </w:pPr>
            <w:r w:rsidRPr="00B56577">
              <w:rPr>
                <w:rFonts w:ascii="Lato" w:hAnsi="Lato"/>
              </w:rPr>
              <w:t>Respondent</w:t>
            </w:r>
            <w:r w:rsidR="00F2706B" w:rsidRPr="00B56577">
              <w:rPr>
                <w:rFonts w:ascii="Lato" w:hAnsi="Lato"/>
              </w:rPr>
              <w:t>:</w:t>
            </w:r>
          </w:p>
        </w:tc>
        <w:tc>
          <w:tcPr>
            <w:tcW w:w="0" w:type="auto"/>
            <w:vAlign w:val="center"/>
          </w:tcPr>
          <w:p w14:paraId="71BB34C7" w14:textId="3F083121" w:rsidR="00F3668C" w:rsidRPr="00B56577" w:rsidRDefault="00C35425" w:rsidP="009E63EB">
            <w:pPr>
              <w:pStyle w:val="BodyTextBold"/>
              <w:rPr>
                <w:rFonts w:ascii="Lato" w:hAnsi="Lato"/>
                <w:b w:val="0"/>
              </w:rPr>
            </w:pPr>
            <w:r>
              <w:rPr>
                <w:rFonts w:ascii="Lato" w:hAnsi="Lato"/>
                <w:b w:val="0"/>
              </w:rPr>
              <w:t xml:space="preserve">Electricity </w:t>
            </w:r>
            <w:proofErr w:type="gramStart"/>
            <w:r>
              <w:rPr>
                <w:rFonts w:ascii="Lato" w:hAnsi="Lato"/>
                <w:b w:val="0"/>
              </w:rPr>
              <w:t>North West</w:t>
            </w:r>
            <w:proofErr w:type="gramEnd"/>
          </w:p>
        </w:tc>
      </w:tr>
      <w:tr w:rsidR="0052508C" w:rsidRPr="00B56577" w14:paraId="46767574" w14:textId="77777777" w:rsidTr="009E63EB">
        <w:trPr>
          <w:cantSplit/>
          <w:trHeight w:val="20"/>
        </w:trPr>
        <w:tc>
          <w:tcPr>
            <w:tcW w:w="0" w:type="auto"/>
            <w:vAlign w:val="center"/>
          </w:tcPr>
          <w:p w14:paraId="0CDA6965" w14:textId="0A830E43" w:rsidR="0052508C" w:rsidRPr="00B56577" w:rsidRDefault="0052508C" w:rsidP="009E63EB">
            <w:pPr>
              <w:pStyle w:val="BodyTextBold"/>
              <w:jc w:val="right"/>
              <w:rPr>
                <w:rFonts w:ascii="Lato" w:hAnsi="Lato"/>
              </w:rPr>
            </w:pPr>
            <w:r w:rsidRPr="00B56577">
              <w:rPr>
                <w:rFonts w:ascii="Lato" w:hAnsi="Lato"/>
              </w:rPr>
              <w:t xml:space="preserve">Contact </w:t>
            </w:r>
            <w:r w:rsidR="00F2706B" w:rsidRPr="00B56577">
              <w:rPr>
                <w:rFonts w:ascii="Lato" w:hAnsi="Lato"/>
              </w:rPr>
              <w:t>Name:</w:t>
            </w:r>
          </w:p>
        </w:tc>
        <w:tc>
          <w:tcPr>
            <w:tcW w:w="0" w:type="auto"/>
            <w:vAlign w:val="center"/>
          </w:tcPr>
          <w:p w14:paraId="320A0BE1" w14:textId="2A5E7159" w:rsidR="0052508C" w:rsidRPr="00B56577" w:rsidRDefault="00C35425" w:rsidP="009E63EB">
            <w:pPr>
              <w:pStyle w:val="BodyTextBold"/>
              <w:rPr>
                <w:rFonts w:ascii="Lato" w:hAnsi="Lato"/>
                <w:b w:val="0"/>
              </w:rPr>
            </w:pPr>
            <w:r>
              <w:rPr>
                <w:rFonts w:ascii="Lato" w:hAnsi="Lato"/>
                <w:b w:val="0"/>
              </w:rPr>
              <w:t>Peter Skirvin</w:t>
            </w:r>
          </w:p>
        </w:tc>
      </w:tr>
      <w:tr w:rsidR="0052508C" w:rsidRPr="00B56577" w14:paraId="0921FF89" w14:textId="77777777" w:rsidTr="009E63EB">
        <w:trPr>
          <w:cantSplit/>
          <w:trHeight w:val="20"/>
        </w:trPr>
        <w:tc>
          <w:tcPr>
            <w:tcW w:w="0" w:type="auto"/>
            <w:vAlign w:val="center"/>
          </w:tcPr>
          <w:p w14:paraId="6B6C6EFF" w14:textId="2784D309" w:rsidR="0052508C" w:rsidRPr="00B56577" w:rsidRDefault="00F2706B" w:rsidP="009E63EB">
            <w:pPr>
              <w:pStyle w:val="BodyTextBold"/>
              <w:jc w:val="right"/>
              <w:rPr>
                <w:rFonts w:ascii="Lato" w:hAnsi="Lato"/>
              </w:rPr>
            </w:pPr>
            <w:r w:rsidRPr="00B56577">
              <w:rPr>
                <w:rFonts w:ascii="Lato" w:hAnsi="Lato"/>
              </w:rPr>
              <w:t>Contact Email:</w:t>
            </w:r>
          </w:p>
        </w:tc>
        <w:tc>
          <w:tcPr>
            <w:tcW w:w="0" w:type="auto"/>
            <w:vAlign w:val="center"/>
          </w:tcPr>
          <w:p w14:paraId="39EB0B6C" w14:textId="356E1F29" w:rsidR="0052508C" w:rsidRPr="00B56577" w:rsidRDefault="00C35425" w:rsidP="009E63EB">
            <w:pPr>
              <w:pStyle w:val="BodyTextBold"/>
              <w:rPr>
                <w:rFonts w:ascii="Lato" w:hAnsi="Lato"/>
                <w:b w:val="0"/>
              </w:rPr>
            </w:pPr>
            <w:r>
              <w:rPr>
                <w:rFonts w:ascii="Lato" w:hAnsi="Lato"/>
                <w:b w:val="0"/>
              </w:rPr>
              <w:t>Peter.skirvin@enwl.co.uk</w:t>
            </w:r>
          </w:p>
        </w:tc>
      </w:tr>
      <w:tr w:rsidR="0052508C" w:rsidRPr="00B56577" w14:paraId="5074E105" w14:textId="77777777" w:rsidTr="009E63EB">
        <w:trPr>
          <w:cantSplit/>
          <w:trHeight w:val="20"/>
        </w:trPr>
        <w:tc>
          <w:tcPr>
            <w:tcW w:w="0" w:type="auto"/>
            <w:vAlign w:val="center"/>
          </w:tcPr>
          <w:p w14:paraId="2DD384EF" w14:textId="6D24E7A7" w:rsidR="0052508C" w:rsidRPr="00B56577" w:rsidRDefault="00F2706B" w:rsidP="009E63EB">
            <w:pPr>
              <w:pStyle w:val="BodyTextBold"/>
              <w:jc w:val="right"/>
              <w:rPr>
                <w:rFonts w:ascii="Lato" w:hAnsi="Lato"/>
              </w:rPr>
            </w:pPr>
            <w:r w:rsidRPr="00B56577">
              <w:rPr>
                <w:rFonts w:ascii="Lato" w:hAnsi="Lato"/>
              </w:rPr>
              <w:t>Contact Telephone Number:</w:t>
            </w:r>
          </w:p>
        </w:tc>
        <w:tc>
          <w:tcPr>
            <w:tcW w:w="0" w:type="auto"/>
            <w:vAlign w:val="center"/>
          </w:tcPr>
          <w:p w14:paraId="269F8317" w14:textId="042F34A2" w:rsidR="0052508C" w:rsidRPr="00B56577" w:rsidRDefault="003E3E89" w:rsidP="009E63EB">
            <w:pPr>
              <w:pStyle w:val="BodyTextBold"/>
              <w:rPr>
                <w:rFonts w:ascii="Lato" w:hAnsi="Lato"/>
                <w:b w:val="0"/>
              </w:rPr>
            </w:pPr>
            <w:r w:rsidRPr="003E3E89">
              <w:rPr>
                <w:rFonts w:ascii="Lato" w:hAnsi="Lato"/>
                <w:b w:val="0"/>
              </w:rPr>
              <w:t>07557 259515</w:t>
            </w:r>
          </w:p>
        </w:tc>
      </w:tr>
    </w:tbl>
    <w:p w14:paraId="77BB6E0D" w14:textId="77777777" w:rsidR="00B50B92" w:rsidRPr="00B56577" w:rsidRDefault="00B50B92" w:rsidP="00B56577">
      <w:pPr>
        <w:pStyle w:val="BodyTextBold"/>
        <w:rPr>
          <w:rFonts w:ascii="Lato" w:hAnsi="Lato"/>
          <w:b w:val="0"/>
        </w:rPr>
      </w:pPr>
      <w:bookmarkStart w:id="0" w:name="_Toc499294628"/>
    </w:p>
    <w:p w14:paraId="1AF268F8" w14:textId="77777777" w:rsidR="00B50B92" w:rsidRPr="00B56577" w:rsidRDefault="00B50B92">
      <w:pPr>
        <w:spacing w:before="0" w:after="0"/>
        <w:rPr>
          <w:rFonts w:ascii="Lato" w:eastAsia="Times New Roman" w:hAnsi="Lato" w:cs="Arial"/>
          <w:b/>
          <w:bCs/>
          <w:color w:val="1F144A" w:themeColor="text1"/>
          <w:kern w:val="32"/>
          <w:sz w:val="32"/>
          <w:szCs w:val="32"/>
        </w:rPr>
      </w:pPr>
      <w:r w:rsidRPr="00B56577">
        <w:rPr>
          <w:rFonts w:ascii="Lato" w:hAnsi="Lato"/>
        </w:rPr>
        <w:br w:type="page"/>
      </w:r>
    </w:p>
    <w:p w14:paraId="22E919AE" w14:textId="06995F89" w:rsidR="004064E0" w:rsidRDefault="00DC52C9" w:rsidP="00DC52C9">
      <w:pPr>
        <w:pStyle w:val="Heading1"/>
        <w:ind w:left="848" w:hanging="848"/>
        <w:rPr>
          <w:rFonts w:ascii="Lato" w:hAnsi="Lato"/>
          <w:b w:val="0"/>
        </w:rPr>
      </w:pPr>
      <w:r w:rsidRPr="00B56577">
        <w:rPr>
          <w:rFonts w:ascii="Lato" w:hAnsi="Lato"/>
        </w:rPr>
        <w:lastRenderedPageBreak/>
        <w:t>R</w:t>
      </w:r>
      <w:r w:rsidR="004064E0" w:rsidRPr="00B56577">
        <w:rPr>
          <w:rFonts w:ascii="Lato" w:hAnsi="Lato"/>
        </w:rPr>
        <w:t xml:space="preserve">esponses to the </w:t>
      </w:r>
      <w:r w:rsidR="002E637C">
        <w:rPr>
          <w:rFonts w:ascii="Lato" w:hAnsi="Lato"/>
        </w:rPr>
        <w:t xml:space="preserve">DP218 </w:t>
      </w:r>
      <w:r w:rsidR="009A718D">
        <w:rPr>
          <w:rFonts w:ascii="Lato" w:hAnsi="Lato"/>
        </w:rPr>
        <w:t>RFI</w:t>
      </w:r>
      <w:r w:rsidR="004064E0" w:rsidRPr="00B56577">
        <w:rPr>
          <w:rFonts w:ascii="Lato" w:hAnsi="Lato"/>
        </w:rPr>
        <w:t xml:space="preserve"> questions</w:t>
      </w:r>
      <w:bookmarkEnd w:id="0"/>
    </w:p>
    <w:p w14:paraId="108B4830" w14:textId="485E07C4" w:rsidR="00811A2D" w:rsidRPr="00601D9F" w:rsidRDefault="00811A2D" w:rsidP="00601D9F">
      <w:pPr>
        <w:pStyle w:val="Heading2"/>
        <w:keepNext w:val="0"/>
        <w:spacing w:before="220" w:after="220"/>
        <w:ind w:left="709" w:hanging="709"/>
        <w:rPr>
          <w:rFonts w:ascii="Lato" w:eastAsiaTheme="minorHAnsi" w:hAnsi="Lato" w:cstheme="minorBidi"/>
          <w:bCs w:val="0"/>
          <w:iCs w:val="0"/>
          <w:color w:val="CA005D"/>
          <w:szCs w:val="22"/>
        </w:rPr>
      </w:pPr>
      <w:r w:rsidRPr="00601D9F">
        <w:rPr>
          <w:rFonts w:ascii="Lato" w:eastAsiaTheme="minorHAnsi" w:hAnsi="Lato" w:cstheme="minorBidi"/>
          <w:bCs w:val="0"/>
          <w:iCs w:val="0"/>
          <w:color w:val="CA005D"/>
          <w:szCs w:val="22"/>
        </w:rPr>
        <w:t>Questions on key drivers for change and guiding principles</w:t>
      </w:r>
    </w:p>
    <w:tbl>
      <w:tblPr>
        <w:tblStyle w:val="TableTemplate1"/>
        <w:tblW w:w="5000" w:type="pct"/>
        <w:tblLook w:val="04A0" w:firstRow="1" w:lastRow="0" w:firstColumn="1" w:lastColumn="0" w:noHBand="0" w:noVBand="1"/>
      </w:tblPr>
      <w:tblGrid>
        <w:gridCol w:w="1020"/>
        <w:gridCol w:w="1238"/>
        <w:gridCol w:w="11680"/>
      </w:tblGrid>
      <w:tr w:rsidR="009E3938" w:rsidRPr="00B56577" w14:paraId="3E2A3BAD" w14:textId="77777777" w:rsidTr="00791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6" w:type="pct"/>
          </w:tcPr>
          <w:p w14:paraId="68971F25" w14:textId="6F574FEE" w:rsidR="00674D62" w:rsidRPr="00B56577" w:rsidRDefault="004B2C0E" w:rsidP="00FE755A">
            <w:pPr>
              <w:pStyle w:val="TableText-Left"/>
              <w:spacing w:line="276" w:lineRule="auto"/>
              <w:jc w:val="center"/>
              <w:rPr>
                <w:rFonts w:ascii="Lato" w:hAnsi="Lato"/>
              </w:rPr>
            </w:pPr>
            <w:r w:rsidRPr="00B56577">
              <w:rPr>
                <w:rFonts w:ascii="Lato" w:hAnsi="Lato"/>
              </w:rPr>
              <w:lastRenderedPageBreak/>
              <w:t>Numb</w:t>
            </w:r>
            <w:r w:rsidR="00C22E7C">
              <w:rPr>
                <w:rFonts w:ascii="Lato" w:hAnsi="Lato"/>
              </w:rPr>
              <w:t>er</w:t>
            </w:r>
          </w:p>
        </w:tc>
        <w:tc>
          <w:tcPr>
            <w:tcW w:w="444" w:type="pct"/>
          </w:tcPr>
          <w:p w14:paraId="0892CFD9" w14:textId="2C71B946" w:rsidR="00674D62" w:rsidRPr="00B56577" w:rsidRDefault="00674D62" w:rsidP="00FE755A">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4190" w:type="pct"/>
          </w:tcPr>
          <w:p w14:paraId="033C5F8C" w14:textId="07636174" w:rsidR="00674D62" w:rsidRPr="00B56577" w:rsidRDefault="00674D62" w:rsidP="00FE755A">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312F3A" w:rsidRPr="00B56577" w14:paraId="72511565" w14:textId="77777777" w:rsidTr="007915DB">
        <w:trPr>
          <w:cantSplit/>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DCF235F" w14:textId="3D22C520" w:rsidR="00312F3A" w:rsidRPr="00B56577" w:rsidRDefault="00AB20FD" w:rsidP="00312F3A">
            <w:pPr>
              <w:pStyle w:val="TableText-Left"/>
              <w:spacing w:line="276" w:lineRule="auto"/>
              <w:jc w:val="center"/>
              <w:rPr>
                <w:rFonts w:ascii="Lato" w:hAnsi="Lato"/>
                <w:color w:val="auto"/>
              </w:rPr>
            </w:pPr>
            <w:r w:rsidRPr="00B56577">
              <w:rPr>
                <w:rFonts w:ascii="Lato" w:hAnsi="Lato"/>
                <w:color w:val="auto"/>
              </w:rPr>
              <w:t>Q1</w:t>
            </w:r>
          </w:p>
        </w:tc>
        <w:tc>
          <w:tcPr>
            <w:tcW w:w="444" w:type="pct"/>
            <w:vAlign w:val="center"/>
          </w:tcPr>
          <w:p w14:paraId="2E8CAFFB" w14:textId="6C2B6662" w:rsidR="00312F3A" w:rsidRPr="00B56577" w:rsidRDefault="00E83697"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E83697">
              <w:rPr>
                <w:rFonts w:ascii="Lato" w:hAnsi="Lato"/>
              </w:rPr>
              <w:t>Do you have any comments and/or insights on the drivers of change identified in this chapter</w:t>
            </w:r>
            <w:r w:rsidR="00353BD1">
              <w:rPr>
                <w:rFonts w:ascii="Lato" w:hAnsi="Lato"/>
              </w:rPr>
              <w:t xml:space="preserve"> 1</w:t>
            </w:r>
            <w:r w:rsidRPr="00E83697">
              <w:rPr>
                <w:rFonts w:ascii="Lato" w:hAnsi="Lato"/>
              </w:rPr>
              <w:t>?</w:t>
            </w:r>
          </w:p>
        </w:tc>
        <w:tc>
          <w:tcPr>
            <w:tcW w:w="4190" w:type="pct"/>
            <w:vAlign w:val="center"/>
          </w:tcPr>
          <w:p w14:paraId="1117EA72" w14:textId="12F53B3F" w:rsidR="00864C06" w:rsidRDefault="00AE1884" w:rsidP="00516328">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Yes</w:t>
            </w:r>
            <w:r w:rsidR="002C0424">
              <w:rPr>
                <w:rFonts w:ascii="Lato" w:hAnsi="Lato"/>
              </w:rPr>
              <w:t>. We</w:t>
            </w:r>
            <w:r>
              <w:rPr>
                <w:rFonts w:ascii="Lato" w:hAnsi="Lato"/>
              </w:rPr>
              <w:t xml:space="preserve"> have the following comments</w:t>
            </w:r>
            <w:r w:rsidR="002C0424">
              <w:rPr>
                <w:rFonts w:ascii="Lato" w:hAnsi="Lato"/>
              </w:rPr>
              <w:t>:</w:t>
            </w:r>
          </w:p>
          <w:p w14:paraId="192BB9BD" w14:textId="3A7505E8" w:rsidR="00AB7B95" w:rsidRPr="00C178E3" w:rsidRDefault="00BD3D2C" w:rsidP="00C178E3">
            <w:pPr>
              <w:pStyle w:val="TableText-Left"/>
              <w:numPr>
                <w:ilvl w:val="0"/>
                <w:numId w:val="41"/>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We agree for the need to</w:t>
            </w:r>
            <w:r w:rsidR="006635B9">
              <w:rPr>
                <w:rFonts w:ascii="Lato" w:hAnsi="Lato"/>
              </w:rPr>
              <w:t xml:space="preserve"> amend</w:t>
            </w:r>
            <w:r w:rsidR="000A5ADE">
              <w:rPr>
                <w:rFonts w:ascii="Lato" w:hAnsi="Lato"/>
              </w:rPr>
              <w:t xml:space="preserve"> the charging methodology given the growth in Other </w:t>
            </w:r>
            <w:r w:rsidR="006C6574">
              <w:rPr>
                <w:rFonts w:ascii="Lato" w:hAnsi="Lato"/>
              </w:rPr>
              <w:t>U</w:t>
            </w:r>
            <w:r w:rsidR="000A5ADE">
              <w:rPr>
                <w:rFonts w:ascii="Lato" w:hAnsi="Lato"/>
              </w:rPr>
              <w:t>sers</w:t>
            </w:r>
            <w:r w:rsidR="006635B9">
              <w:rPr>
                <w:rFonts w:ascii="Lato" w:hAnsi="Lato"/>
              </w:rPr>
              <w:t xml:space="preserve"> under DP218 SEC Modification</w:t>
            </w:r>
            <w:r w:rsidR="000A5ADE">
              <w:rPr>
                <w:rFonts w:ascii="Lato" w:hAnsi="Lato"/>
              </w:rPr>
              <w:t xml:space="preserve">. </w:t>
            </w:r>
            <w:r w:rsidR="006C6574">
              <w:rPr>
                <w:rFonts w:ascii="Lato" w:hAnsi="Lato"/>
              </w:rPr>
              <w:t>However, th</w:t>
            </w:r>
            <w:r w:rsidR="0074579F">
              <w:rPr>
                <w:rFonts w:ascii="Lato" w:hAnsi="Lato"/>
              </w:rPr>
              <w:t xml:space="preserve">e scope has </w:t>
            </w:r>
            <w:r w:rsidR="006C6574">
              <w:rPr>
                <w:rFonts w:ascii="Lato" w:hAnsi="Lato"/>
              </w:rPr>
              <w:t xml:space="preserve">developed into a wholesale review of </w:t>
            </w:r>
            <w:r w:rsidR="00686B72">
              <w:rPr>
                <w:rFonts w:ascii="Lato" w:hAnsi="Lato"/>
              </w:rPr>
              <w:t xml:space="preserve">the SEC </w:t>
            </w:r>
            <w:r w:rsidR="006C6574">
              <w:rPr>
                <w:rFonts w:ascii="Lato" w:hAnsi="Lato"/>
              </w:rPr>
              <w:t>charging principles</w:t>
            </w:r>
            <w:r w:rsidR="00861F90">
              <w:rPr>
                <w:rFonts w:ascii="Lato" w:hAnsi="Lato"/>
              </w:rPr>
              <w:t xml:space="preserve">, </w:t>
            </w:r>
            <w:r w:rsidR="00516328">
              <w:rPr>
                <w:rFonts w:ascii="Lato" w:hAnsi="Lato"/>
              </w:rPr>
              <w:t xml:space="preserve">rather than how </w:t>
            </w:r>
            <w:r w:rsidR="00686B72">
              <w:rPr>
                <w:rFonts w:ascii="Lato" w:hAnsi="Lato"/>
              </w:rPr>
              <w:t xml:space="preserve">the DCC </w:t>
            </w:r>
            <w:r w:rsidR="00516328">
              <w:rPr>
                <w:rFonts w:ascii="Lato" w:hAnsi="Lato"/>
              </w:rPr>
              <w:t xml:space="preserve">reasonably </w:t>
            </w:r>
            <w:r w:rsidR="00686B72">
              <w:rPr>
                <w:rFonts w:ascii="Lato" w:hAnsi="Lato"/>
              </w:rPr>
              <w:t>recovery their costs and</w:t>
            </w:r>
            <w:r w:rsidR="00890349">
              <w:rPr>
                <w:rFonts w:ascii="Lato" w:hAnsi="Lato"/>
              </w:rPr>
              <w:t xml:space="preserve"> </w:t>
            </w:r>
            <w:r w:rsidR="00516328">
              <w:rPr>
                <w:rFonts w:ascii="Lato" w:hAnsi="Lato"/>
              </w:rPr>
              <w:t>charge Other Users.</w:t>
            </w:r>
            <w:r w:rsidR="00686B72">
              <w:rPr>
                <w:rFonts w:ascii="Lato" w:hAnsi="Lato"/>
              </w:rPr>
              <w:t xml:space="preserve"> This is a material change to the scope </w:t>
            </w:r>
            <w:r w:rsidR="00131B74">
              <w:rPr>
                <w:rFonts w:ascii="Lato" w:hAnsi="Lato"/>
              </w:rPr>
              <w:t xml:space="preserve">and </w:t>
            </w:r>
            <w:r w:rsidR="00890349">
              <w:rPr>
                <w:rFonts w:ascii="Lato" w:hAnsi="Lato"/>
              </w:rPr>
              <w:t xml:space="preserve">original trigger for the DP218 </w:t>
            </w:r>
            <w:r w:rsidR="00686B72">
              <w:rPr>
                <w:rFonts w:ascii="Lato" w:hAnsi="Lato"/>
              </w:rPr>
              <w:t>modification proposal</w:t>
            </w:r>
            <w:r w:rsidR="00131B74">
              <w:rPr>
                <w:rFonts w:ascii="Lato" w:hAnsi="Lato"/>
              </w:rPr>
              <w:t xml:space="preserve">. </w:t>
            </w:r>
          </w:p>
          <w:p w14:paraId="0D656C9D" w14:textId="605C7AE6" w:rsidR="008944EC" w:rsidRDefault="00131B74" w:rsidP="008944EC">
            <w:pPr>
              <w:pStyle w:val="TableText-Left"/>
              <w:numPr>
                <w:ilvl w:val="0"/>
                <w:numId w:val="41"/>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T</w:t>
            </w:r>
            <w:r w:rsidR="005515B6">
              <w:rPr>
                <w:rFonts w:ascii="Lato" w:hAnsi="Lato"/>
              </w:rPr>
              <w:t>he governance process being followed by the DCC and SECAS is not clear to SEC Parties</w:t>
            </w:r>
            <w:r w:rsidR="002503FE">
              <w:rPr>
                <w:rFonts w:ascii="Lato" w:hAnsi="Lato"/>
              </w:rPr>
              <w:t xml:space="preserve">. </w:t>
            </w:r>
            <w:r w:rsidR="00D24903">
              <w:rPr>
                <w:rFonts w:ascii="Lato" w:hAnsi="Lato"/>
              </w:rPr>
              <w:t>We request clarity on the governance process being followed</w:t>
            </w:r>
            <w:r w:rsidR="008944EC">
              <w:rPr>
                <w:rFonts w:ascii="Lato" w:hAnsi="Lato"/>
              </w:rPr>
              <w:t>:</w:t>
            </w:r>
          </w:p>
          <w:p w14:paraId="6DD1C477" w14:textId="1FDB2BFC" w:rsidR="006542A4" w:rsidRDefault="00214A91" w:rsidP="006542A4">
            <w:pPr>
              <w:pStyle w:val="TableText-Left"/>
              <w:numPr>
                <w:ilvl w:val="0"/>
                <w:numId w:val="43"/>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 If </w:t>
            </w:r>
            <w:r w:rsidR="005515B6" w:rsidRPr="008944EC">
              <w:rPr>
                <w:rFonts w:ascii="Lato" w:hAnsi="Lato"/>
              </w:rPr>
              <w:t>the intent is for</w:t>
            </w:r>
            <w:r w:rsidR="007C158D" w:rsidRPr="008944EC">
              <w:rPr>
                <w:rFonts w:ascii="Lato" w:hAnsi="Lato"/>
              </w:rPr>
              <w:t xml:space="preserve"> the DCC </w:t>
            </w:r>
            <w:r w:rsidR="005515B6" w:rsidRPr="008944EC">
              <w:rPr>
                <w:rFonts w:ascii="Lato" w:hAnsi="Lato"/>
              </w:rPr>
              <w:t xml:space="preserve">to follow </w:t>
            </w:r>
            <w:r w:rsidR="0018339A" w:rsidRPr="008944EC">
              <w:rPr>
                <w:rFonts w:ascii="Lato" w:hAnsi="Lato"/>
              </w:rPr>
              <w:t>a formal</w:t>
            </w:r>
            <w:r w:rsidR="005D4351">
              <w:rPr>
                <w:rFonts w:ascii="Lato" w:hAnsi="Lato"/>
              </w:rPr>
              <w:t xml:space="preserve"> </w:t>
            </w:r>
            <w:r w:rsidR="0018339A" w:rsidRPr="008944EC">
              <w:rPr>
                <w:rFonts w:ascii="Lato" w:hAnsi="Lato"/>
              </w:rPr>
              <w:t xml:space="preserve">review of their charging </w:t>
            </w:r>
            <w:r w:rsidR="004F10BD" w:rsidRPr="008944EC">
              <w:rPr>
                <w:rFonts w:ascii="Lato" w:hAnsi="Lato"/>
              </w:rPr>
              <w:t>methodology</w:t>
            </w:r>
            <w:r w:rsidR="00D16444" w:rsidRPr="008944EC">
              <w:rPr>
                <w:rFonts w:ascii="Lato" w:hAnsi="Lato"/>
              </w:rPr>
              <w:t xml:space="preserve"> </w:t>
            </w:r>
            <w:r w:rsidR="00DF3437" w:rsidRPr="008944EC">
              <w:rPr>
                <w:rFonts w:ascii="Lato" w:hAnsi="Lato"/>
              </w:rPr>
              <w:t xml:space="preserve">for all SEC </w:t>
            </w:r>
            <w:r w:rsidR="005757E9" w:rsidRPr="008944EC">
              <w:rPr>
                <w:rFonts w:ascii="Lato" w:hAnsi="Lato"/>
              </w:rPr>
              <w:t>Users (current and future)</w:t>
            </w:r>
            <w:r w:rsidR="000B0C08">
              <w:rPr>
                <w:rFonts w:ascii="Lato" w:hAnsi="Lato"/>
              </w:rPr>
              <w:t xml:space="preserve"> which we believe includes </w:t>
            </w:r>
            <w:r w:rsidR="00B06978">
              <w:rPr>
                <w:rFonts w:ascii="Lato" w:hAnsi="Lato"/>
              </w:rPr>
              <w:t xml:space="preserve">DCC </w:t>
            </w:r>
            <w:r w:rsidR="000B0C08">
              <w:rPr>
                <w:rFonts w:ascii="Lato" w:hAnsi="Lato"/>
              </w:rPr>
              <w:t>options 2</w:t>
            </w:r>
            <w:r w:rsidR="00683644">
              <w:rPr>
                <w:rFonts w:ascii="Lato" w:hAnsi="Lato"/>
              </w:rPr>
              <w:t xml:space="preserve"> </w:t>
            </w:r>
            <w:r w:rsidR="00B06978">
              <w:rPr>
                <w:rFonts w:ascii="Lato" w:hAnsi="Lato"/>
              </w:rPr>
              <w:t>–</w:t>
            </w:r>
            <w:r w:rsidR="00683644">
              <w:rPr>
                <w:rFonts w:ascii="Lato" w:hAnsi="Lato"/>
              </w:rPr>
              <w:t xml:space="preserve"> 5</w:t>
            </w:r>
            <w:r w:rsidR="00B06978">
              <w:rPr>
                <w:rFonts w:ascii="Lato" w:hAnsi="Lato"/>
              </w:rPr>
              <w:t>. W</w:t>
            </w:r>
            <w:r w:rsidR="00864C06" w:rsidRPr="008944EC">
              <w:rPr>
                <w:rFonts w:ascii="Lato" w:hAnsi="Lato"/>
              </w:rPr>
              <w:t xml:space="preserve">e request a </w:t>
            </w:r>
            <w:r w:rsidR="00C972F3">
              <w:rPr>
                <w:rFonts w:ascii="Lato" w:hAnsi="Lato"/>
              </w:rPr>
              <w:t>pre-</w:t>
            </w:r>
            <w:r w:rsidR="00864C06" w:rsidRPr="008944EC">
              <w:rPr>
                <w:rFonts w:ascii="Lato" w:hAnsi="Lato"/>
              </w:rPr>
              <w:t xml:space="preserve">consultation with industry on how the DCC should consult </w:t>
            </w:r>
            <w:r w:rsidR="002E01EB" w:rsidRPr="008944EC">
              <w:rPr>
                <w:rFonts w:ascii="Lato" w:hAnsi="Lato"/>
              </w:rPr>
              <w:t xml:space="preserve">as this is the first review of the </w:t>
            </w:r>
            <w:r w:rsidR="00231BC8" w:rsidRPr="008944EC">
              <w:rPr>
                <w:rFonts w:ascii="Lato" w:hAnsi="Lato"/>
              </w:rPr>
              <w:t>methodology</w:t>
            </w:r>
            <w:r w:rsidR="002E01EB" w:rsidRPr="008944EC">
              <w:rPr>
                <w:rFonts w:ascii="Lato" w:hAnsi="Lato"/>
              </w:rPr>
              <w:t xml:space="preserve"> since SMIP and SEC go live </w:t>
            </w:r>
            <w:r w:rsidR="00C34104" w:rsidRPr="008944EC">
              <w:rPr>
                <w:rFonts w:ascii="Lato" w:hAnsi="Lato"/>
              </w:rPr>
              <w:t>which is proposing material changes</w:t>
            </w:r>
            <w:r w:rsidR="00805A51" w:rsidRPr="008944EC">
              <w:rPr>
                <w:rFonts w:ascii="Lato" w:hAnsi="Lato"/>
              </w:rPr>
              <w:t xml:space="preserve">. </w:t>
            </w:r>
            <w:r w:rsidR="005563BC" w:rsidRPr="008944EC">
              <w:rPr>
                <w:rFonts w:ascii="Lato" w:hAnsi="Lato"/>
              </w:rPr>
              <w:t xml:space="preserve">Our understanding is </w:t>
            </w:r>
            <w:r w:rsidR="007E2CA8" w:rsidRPr="008944EC">
              <w:rPr>
                <w:rFonts w:ascii="Lato" w:hAnsi="Lato"/>
              </w:rPr>
              <w:t>the</w:t>
            </w:r>
            <w:r w:rsidR="00805A51" w:rsidRPr="008944EC">
              <w:rPr>
                <w:rFonts w:ascii="Lato" w:hAnsi="Lato"/>
              </w:rPr>
              <w:t xml:space="preserve"> </w:t>
            </w:r>
            <w:r w:rsidR="007B3145" w:rsidRPr="008944EC">
              <w:rPr>
                <w:rFonts w:ascii="Lato" w:hAnsi="Lato"/>
              </w:rPr>
              <w:t xml:space="preserve">DCC have an annual commitment to review their charging methodology and </w:t>
            </w:r>
            <w:r w:rsidR="00733BA9">
              <w:rPr>
                <w:rFonts w:ascii="Lato" w:hAnsi="Lato"/>
              </w:rPr>
              <w:t xml:space="preserve">the </w:t>
            </w:r>
            <w:r w:rsidR="0018339A" w:rsidRPr="008944EC">
              <w:rPr>
                <w:rFonts w:ascii="Lato" w:hAnsi="Lato"/>
              </w:rPr>
              <w:t xml:space="preserve">route </w:t>
            </w:r>
            <w:r w:rsidR="005563BC" w:rsidRPr="008944EC">
              <w:rPr>
                <w:rFonts w:ascii="Lato" w:hAnsi="Lato"/>
              </w:rPr>
              <w:t xml:space="preserve">to be followed is </w:t>
            </w:r>
            <w:r w:rsidR="0018339A" w:rsidRPr="008944EC">
              <w:rPr>
                <w:rFonts w:ascii="Lato" w:hAnsi="Lato"/>
              </w:rPr>
              <w:t xml:space="preserve">prescribed </w:t>
            </w:r>
            <w:r w:rsidR="006819E9" w:rsidRPr="008944EC">
              <w:rPr>
                <w:rFonts w:ascii="Lato" w:hAnsi="Lato"/>
              </w:rPr>
              <w:t xml:space="preserve">and set against </w:t>
            </w:r>
            <w:r w:rsidR="00894C4A" w:rsidRPr="008944EC">
              <w:rPr>
                <w:rFonts w:ascii="Lato" w:hAnsi="Lato"/>
              </w:rPr>
              <w:t>policy objectives</w:t>
            </w:r>
            <w:r w:rsidR="006819E9" w:rsidRPr="008944EC">
              <w:rPr>
                <w:rFonts w:ascii="Lato" w:hAnsi="Lato"/>
              </w:rPr>
              <w:t xml:space="preserve"> set out under</w:t>
            </w:r>
            <w:r w:rsidR="00894C4A" w:rsidRPr="008944EC">
              <w:rPr>
                <w:rFonts w:ascii="Lato" w:hAnsi="Lato"/>
              </w:rPr>
              <w:t xml:space="preserve"> </w:t>
            </w:r>
            <w:r w:rsidR="00782B52" w:rsidRPr="008944EC">
              <w:rPr>
                <w:rFonts w:ascii="Lato" w:hAnsi="Lato"/>
              </w:rPr>
              <w:t>the</w:t>
            </w:r>
            <w:r w:rsidR="00CC1E2E" w:rsidRPr="008944EC">
              <w:rPr>
                <w:rFonts w:ascii="Lato" w:hAnsi="Lato"/>
              </w:rPr>
              <w:t xml:space="preserve"> DCC</w:t>
            </w:r>
            <w:r w:rsidR="00782B52" w:rsidRPr="008944EC">
              <w:rPr>
                <w:rFonts w:ascii="Lato" w:hAnsi="Lato"/>
              </w:rPr>
              <w:t>s</w:t>
            </w:r>
            <w:r w:rsidR="00CC1E2E" w:rsidRPr="008944EC">
              <w:rPr>
                <w:rFonts w:ascii="Lato" w:hAnsi="Lato"/>
              </w:rPr>
              <w:t xml:space="preserve"> </w:t>
            </w:r>
            <w:r w:rsidR="005912CA" w:rsidRPr="008944EC">
              <w:rPr>
                <w:rFonts w:ascii="Lato" w:hAnsi="Lato"/>
              </w:rPr>
              <w:t>licence</w:t>
            </w:r>
            <w:r w:rsidR="004F10BD" w:rsidRPr="008944EC">
              <w:rPr>
                <w:rFonts w:ascii="Lato" w:hAnsi="Lato"/>
              </w:rPr>
              <w:t xml:space="preserve"> </w:t>
            </w:r>
            <w:r w:rsidR="006C4341" w:rsidRPr="008944EC">
              <w:rPr>
                <w:rFonts w:ascii="Lato" w:hAnsi="Lato"/>
              </w:rPr>
              <w:t>condition 18</w:t>
            </w:r>
            <w:r w:rsidR="0054074B" w:rsidRPr="008944EC">
              <w:rPr>
                <w:rFonts w:ascii="Lato" w:hAnsi="Lato"/>
              </w:rPr>
              <w:t xml:space="preserve"> ‘</w:t>
            </w:r>
            <w:r w:rsidR="00365F4B" w:rsidRPr="008944EC">
              <w:rPr>
                <w:rFonts w:ascii="Lato" w:hAnsi="Lato"/>
              </w:rPr>
              <w:t>Charging Methodology for Service Cha</w:t>
            </w:r>
            <w:r w:rsidR="00500893" w:rsidRPr="008944EC">
              <w:rPr>
                <w:rFonts w:ascii="Lato" w:hAnsi="Lato"/>
              </w:rPr>
              <w:t>rg</w:t>
            </w:r>
            <w:r w:rsidR="00365F4B" w:rsidRPr="008944EC">
              <w:rPr>
                <w:rFonts w:ascii="Lato" w:hAnsi="Lato"/>
              </w:rPr>
              <w:t>es’</w:t>
            </w:r>
            <w:r w:rsidR="005563BC" w:rsidRPr="008944EC">
              <w:rPr>
                <w:rFonts w:ascii="Lato" w:hAnsi="Lato"/>
              </w:rPr>
              <w:t>.</w:t>
            </w:r>
            <w:r w:rsidR="009C43A8" w:rsidRPr="008944EC">
              <w:rPr>
                <w:rFonts w:ascii="Lato" w:hAnsi="Lato"/>
              </w:rPr>
              <w:t xml:space="preserve"> </w:t>
            </w:r>
            <w:r w:rsidR="00D1797F" w:rsidRPr="008944EC">
              <w:rPr>
                <w:rFonts w:ascii="Lato" w:hAnsi="Lato"/>
              </w:rPr>
              <w:t xml:space="preserve">In March 2024, the DCC </w:t>
            </w:r>
            <w:hyperlink r:id="rId14" w:history="1">
              <w:r w:rsidR="00D1797F" w:rsidRPr="005D33AB">
                <w:rPr>
                  <w:rStyle w:val="Hyperlink"/>
                  <w:rFonts w:ascii="Lato" w:hAnsi="Lato"/>
                </w:rPr>
                <w:t>published</w:t>
              </w:r>
            </w:hyperlink>
            <w:r w:rsidR="00D1797F" w:rsidRPr="008944EC">
              <w:rPr>
                <w:rFonts w:ascii="Lato" w:hAnsi="Lato"/>
              </w:rPr>
              <w:t xml:space="preserve"> </w:t>
            </w:r>
            <w:r w:rsidR="007B3145" w:rsidRPr="008944EC">
              <w:rPr>
                <w:rFonts w:ascii="Lato" w:hAnsi="Lato"/>
              </w:rPr>
              <w:t xml:space="preserve">their </w:t>
            </w:r>
            <w:r w:rsidR="00CA02BC" w:rsidRPr="008944EC">
              <w:rPr>
                <w:rFonts w:ascii="Lato" w:hAnsi="Lato"/>
              </w:rPr>
              <w:t xml:space="preserve">RY </w:t>
            </w:r>
            <w:r w:rsidR="007B3145" w:rsidRPr="008944EC">
              <w:rPr>
                <w:rFonts w:ascii="Lato" w:hAnsi="Lato"/>
              </w:rPr>
              <w:t>2023/</w:t>
            </w:r>
            <w:r w:rsidR="00CA02BC" w:rsidRPr="008944EC">
              <w:rPr>
                <w:rFonts w:ascii="Lato" w:hAnsi="Lato"/>
              </w:rPr>
              <w:t xml:space="preserve">2024 </w:t>
            </w:r>
            <w:r w:rsidR="00C95AD6">
              <w:rPr>
                <w:rFonts w:ascii="Lato" w:hAnsi="Lato"/>
              </w:rPr>
              <w:t xml:space="preserve">charging methodology </w:t>
            </w:r>
            <w:r w:rsidR="00D1797F" w:rsidRPr="005D33AB">
              <w:rPr>
                <w:rFonts w:ascii="Lato" w:hAnsi="Lato"/>
              </w:rPr>
              <w:t xml:space="preserve">review </w:t>
            </w:r>
            <w:r w:rsidR="00683644">
              <w:rPr>
                <w:rFonts w:ascii="Lato" w:hAnsi="Lato"/>
              </w:rPr>
              <w:t>which we assume accounted for the data available up to March 2024</w:t>
            </w:r>
            <w:r w:rsidR="00E61016">
              <w:rPr>
                <w:rFonts w:ascii="Lato" w:hAnsi="Lato"/>
              </w:rPr>
              <w:t xml:space="preserve"> and which concluded no change was required. I</w:t>
            </w:r>
            <w:r w:rsidR="00CA02BC" w:rsidRPr="008944EC">
              <w:rPr>
                <w:rFonts w:ascii="Lato" w:hAnsi="Lato"/>
              </w:rPr>
              <w:t>f the intent is for th</w:t>
            </w:r>
            <w:r w:rsidR="00883DE9" w:rsidRPr="008944EC">
              <w:rPr>
                <w:rFonts w:ascii="Lato" w:hAnsi="Lato"/>
              </w:rPr>
              <w:t>is review to represent the annual review for RY2024/25 we propose it is based on</w:t>
            </w:r>
            <w:r w:rsidR="00645B88">
              <w:rPr>
                <w:rFonts w:ascii="Lato" w:hAnsi="Lato"/>
              </w:rPr>
              <w:t xml:space="preserve"> more than</w:t>
            </w:r>
            <w:r w:rsidR="00883DE9" w:rsidRPr="008944EC">
              <w:rPr>
                <w:rFonts w:ascii="Lato" w:hAnsi="Lato"/>
              </w:rPr>
              <w:t xml:space="preserve"> 12 </w:t>
            </w:r>
            <w:r w:rsidR="00645B88" w:rsidRPr="008944EC">
              <w:rPr>
                <w:rFonts w:ascii="Lato" w:hAnsi="Lato"/>
              </w:rPr>
              <w:t>months’ worth</w:t>
            </w:r>
            <w:r w:rsidR="00883DE9" w:rsidRPr="008944EC">
              <w:rPr>
                <w:rFonts w:ascii="Lato" w:hAnsi="Lato"/>
              </w:rPr>
              <w:t xml:space="preserve"> of data and across all Users (Suppliers, Distributors and Other Users)</w:t>
            </w:r>
            <w:r w:rsidR="001F5BB9" w:rsidRPr="008944EC">
              <w:rPr>
                <w:rFonts w:ascii="Lato" w:hAnsi="Lato"/>
              </w:rPr>
              <w:t xml:space="preserve">. This </w:t>
            </w:r>
            <w:r w:rsidR="008E1B8E">
              <w:rPr>
                <w:rFonts w:ascii="Lato" w:hAnsi="Lato"/>
              </w:rPr>
              <w:t>approach would allow</w:t>
            </w:r>
            <w:r w:rsidR="001F5BB9" w:rsidRPr="008944EC">
              <w:rPr>
                <w:rFonts w:ascii="Lato" w:hAnsi="Lato"/>
              </w:rPr>
              <w:t xml:space="preserve"> the DCC time to consult</w:t>
            </w:r>
            <w:r w:rsidR="00A0082F" w:rsidRPr="008944EC">
              <w:rPr>
                <w:rFonts w:ascii="Lato" w:hAnsi="Lato"/>
              </w:rPr>
              <w:t xml:space="preserve"> and collaboratively work</w:t>
            </w:r>
            <w:r w:rsidR="001F5BB9" w:rsidRPr="008944EC">
              <w:rPr>
                <w:rFonts w:ascii="Lato" w:hAnsi="Lato"/>
              </w:rPr>
              <w:t xml:space="preserve"> with industry </w:t>
            </w:r>
            <w:r w:rsidR="008E1B8E">
              <w:rPr>
                <w:rFonts w:ascii="Lato" w:hAnsi="Lato"/>
              </w:rPr>
              <w:t xml:space="preserve">to </w:t>
            </w:r>
            <w:r w:rsidR="001F5BB9" w:rsidRPr="008944EC">
              <w:rPr>
                <w:rFonts w:ascii="Lato" w:hAnsi="Lato"/>
              </w:rPr>
              <w:t>enable the DCC to</w:t>
            </w:r>
            <w:r w:rsidR="00A0082F" w:rsidRPr="008944EC">
              <w:rPr>
                <w:rFonts w:ascii="Lato" w:hAnsi="Lato"/>
              </w:rPr>
              <w:t xml:space="preserve"> more effectively determine if</w:t>
            </w:r>
            <w:r w:rsidR="008944EC" w:rsidRPr="008944EC">
              <w:rPr>
                <w:rFonts w:ascii="Lato" w:hAnsi="Lato"/>
              </w:rPr>
              <w:t xml:space="preserve"> the </w:t>
            </w:r>
            <w:r w:rsidR="00A0082F" w:rsidRPr="008944EC">
              <w:rPr>
                <w:rFonts w:ascii="Lato" w:hAnsi="Lato"/>
              </w:rPr>
              <w:t xml:space="preserve">current charging methodology </w:t>
            </w:r>
            <w:r w:rsidR="008944EC" w:rsidRPr="008944EC">
              <w:rPr>
                <w:rFonts w:ascii="Lato" w:hAnsi="Lato"/>
              </w:rPr>
              <w:t>remains</w:t>
            </w:r>
            <w:r w:rsidR="00A0082F" w:rsidRPr="008944EC">
              <w:rPr>
                <w:rFonts w:ascii="Lato" w:hAnsi="Lato"/>
              </w:rPr>
              <w:t xml:space="preserve"> “fit-for-purpose” </w:t>
            </w:r>
            <w:r w:rsidR="006542A4">
              <w:rPr>
                <w:rFonts w:ascii="Lato" w:hAnsi="Lato"/>
              </w:rPr>
              <w:t>or needs to be adjusted based on a reasonable sample size of data.</w:t>
            </w:r>
            <w:r w:rsidR="007D2BA6">
              <w:rPr>
                <w:rFonts w:ascii="Lato" w:hAnsi="Lato"/>
              </w:rPr>
              <w:t xml:space="preserve"> The </w:t>
            </w:r>
            <w:r w:rsidR="00F20F76">
              <w:rPr>
                <w:rFonts w:ascii="Lato" w:hAnsi="Lato"/>
              </w:rPr>
              <w:t xml:space="preserve">approach </w:t>
            </w:r>
            <w:r w:rsidR="007D2BA6">
              <w:rPr>
                <w:rFonts w:ascii="Lato" w:hAnsi="Lato"/>
              </w:rPr>
              <w:t xml:space="preserve">would also allow the for any time lose due to the general </w:t>
            </w:r>
            <w:r w:rsidR="00C53A03">
              <w:rPr>
                <w:rFonts w:ascii="Lato" w:hAnsi="Lato"/>
              </w:rPr>
              <w:t>election</w:t>
            </w:r>
            <w:r w:rsidR="007D2BA6">
              <w:rPr>
                <w:rFonts w:ascii="Lato" w:hAnsi="Lato"/>
              </w:rPr>
              <w:t xml:space="preserve"> purdah period (refer to our response to </w:t>
            </w:r>
            <w:r w:rsidR="00D86DBF">
              <w:rPr>
                <w:rFonts w:ascii="Lato" w:hAnsi="Lato"/>
              </w:rPr>
              <w:t>Q</w:t>
            </w:r>
            <w:r w:rsidR="007D2BA6">
              <w:rPr>
                <w:rFonts w:ascii="Lato" w:hAnsi="Lato"/>
              </w:rPr>
              <w:t>37).</w:t>
            </w:r>
          </w:p>
          <w:p w14:paraId="236AFE58" w14:textId="14D45113" w:rsidR="006542A4" w:rsidRPr="008944EC" w:rsidRDefault="006542A4" w:rsidP="006542A4">
            <w:pPr>
              <w:pStyle w:val="TableText-Left"/>
              <w:numPr>
                <w:ilvl w:val="0"/>
                <w:numId w:val="43"/>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If the intent is for the reasonable recovery of costs from Other Users</w:t>
            </w:r>
            <w:r w:rsidR="00683644">
              <w:rPr>
                <w:rFonts w:ascii="Lato" w:hAnsi="Lato"/>
              </w:rPr>
              <w:t>, which we believe is a variation of option 1,</w:t>
            </w:r>
            <w:r w:rsidR="004738A1">
              <w:rPr>
                <w:rFonts w:ascii="Lato" w:hAnsi="Lato"/>
              </w:rPr>
              <w:t xml:space="preserve"> </w:t>
            </w:r>
            <w:r>
              <w:rPr>
                <w:rFonts w:ascii="Lato" w:hAnsi="Lato"/>
              </w:rPr>
              <w:t>driven by reform such as the MHHS programme creati</w:t>
            </w:r>
            <w:r w:rsidR="00C53A03">
              <w:rPr>
                <w:rFonts w:ascii="Lato" w:hAnsi="Lato"/>
              </w:rPr>
              <w:t>o</w:t>
            </w:r>
            <w:r>
              <w:rPr>
                <w:rFonts w:ascii="Lato" w:hAnsi="Lato"/>
              </w:rPr>
              <w:t>n of a new market role of Meter Date Retrieval Agents (MDRs) who are contracted to Suppliers, we recommend the DP218 modification refinement continues with that original scope and objective.</w:t>
            </w:r>
            <w:r w:rsidR="00C53A03">
              <w:rPr>
                <w:rFonts w:ascii="Lato" w:hAnsi="Lato"/>
              </w:rPr>
              <w:t xml:space="preserve"> This modification would be based on more than 12 months</w:t>
            </w:r>
            <w:r w:rsidR="00BA3894">
              <w:rPr>
                <w:rFonts w:ascii="Lato" w:hAnsi="Lato"/>
              </w:rPr>
              <w:t>’</w:t>
            </w:r>
            <w:r w:rsidR="00C53A03">
              <w:rPr>
                <w:rFonts w:ascii="Lato" w:hAnsi="Lato"/>
              </w:rPr>
              <w:t xml:space="preserve"> worth of data </w:t>
            </w:r>
            <w:r w:rsidR="003325DA">
              <w:rPr>
                <w:rFonts w:ascii="Lato" w:hAnsi="Lato"/>
              </w:rPr>
              <w:t xml:space="preserve">for Other Users </w:t>
            </w:r>
            <w:r w:rsidR="00C53A03">
              <w:rPr>
                <w:rFonts w:ascii="Lato" w:hAnsi="Lato"/>
              </w:rPr>
              <w:t>but should still be presented against Suppliers a</w:t>
            </w:r>
            <w:r w:rsidR="003325DA">
              <w:rPr>
                <w:rFonts w:ascii="Lato" w:hAnsi="Lato"/>
              </w:rPr>
              <w:t>s</w:t>
            </w:r>
            <w:r w:rsidR="008E5F68">
              <w:rPr>
                <w:rFonts w:ascii="Lato" w:hAnsi="Lato"/>
              </w:rPr>
              <w:t xml:space="preserve"> </w:t>
            </w:r>
            <w:r w:rsidR="003325DA">
              <w:rPr>
                <w:rFonts w:ascii="Lato" w:hAnsi="Lato"/>
              </w:rPr>
              <w:t>well</w:t>
            </w:r>
            <w:r w:rsidR="00C53A03">
              <w:rPr>
                <w:rFonts w:ascii="Lato" w:hAnsi="Lato"/>
              </w:rPr>
              <w:t xml:space="preserve"> Electricity Distribution usage</w:t>
            </w:r>
            <w:r w:rsidR="003325DA">
              <w:rPr>
                <w:rFonts w:ascii="Lato" w:hAnsi="Lato"/>
              </w:rPr>
              <w:t xml:space="preserve"> to provide context and transparent comparison</w:t>
            </w:r>
            <w:r w:rsidR="00C53A03">
              <w:rPr>
                <w:rFonts w:ascii="Lato" w:hAnsi="Lato"/>
              </w:rPr>
              <w:t>.</w:t>
            </w:r>
          </w:p>
          <w:p w14:paraId="29869C9D" w14:textId="5AAC4C36" w:rsidR="0003115A" w:rsidRDefault="0003115A" w:rsidP="006542A4">
            <w:pPr>
              <w:pStyle w:val="TableText-Left"/>
              <w:spacing w:line="276" w:lineRule="auto"/>
              <w:ind w:left="1080"/>
              <w:cnfStyle w:val="000000000000" w:firstRow="0" w:lastRow="0" w:firstColumn="0" w:lastColumn="0" w:oddVBand="0" w:evenVBand="0" w:oddHBand="0" w:evenHBand="0" w:firstRowFirstColumn="0" w:firstRowLastColumn="0" w:lastRowFirstColumn="0" w:lastRowLastColumn="0"/>
              <w:rPr>
                <w:rFonts w:ascii="Lato" w:hAnsi="Lato"/>
              </w:rPr>
            </w:pPr>
          </w:p>
          <w:p w14:paraId="1873E0F7" w14:textId="3F53B136" w:rsidR="00D16444" w:rsidRPr="00D16444" w:rsidRDefault="0003115A" w:rsidP="00D16444">
            <w:pPr>
              <w:pStyle w:val="TableText-Left"/>
              <w:numPr>
                <w:ilvl w:val="0"/>
                <w:numId w:val="41"/>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lastRenderedPageBreak/>
              <w:t xml:space="preserve">There is no </w:t>
            </w:r>
            <w:r w:rsidR="000330B2">
              <w:rPr>
                <w:rFonts w:ascii="Lato" w:hAnsi="Lato"/>
              </w:rPr>
              <w:t>detailed dat</w:t>
            </w:r>
            <w:r w:rsidR="00B77862">
              <w:rPr>
                <w:rFonts w:ascii="Lato" w:hAnsi="Lato"/>
              </w:rPr>
              <w:t>a</w:t>
            </w:r>
            <w:r w:rsidR="000330B2">
              <w:rPr>
                <w:rFonts w:ascii="Lato" w:hAnsi="Lato"/>
              </w:rPr>
              <w:t xml:space="preserve"> or </w:t>
            </w:r>
            <w:r w:rsidR="00E37EF3">
              <w:rPr>
                <w:rFonts w:ascii="Lato" w:hAnsi="Lato"/>
              </w:rPr>
              <w:t xml:space="preserve">methodology included within the RFI explaining the business rationale regarding the conclusion (trigger) that </w:t>
            </w:r>
            <w:r w:rsidR="008220E3">
              <w:rPr>
                <w:rFonts w:ascii="Lato" w:hAnsi="Lato"/>
              </w:rPr>
              <w:t xml:space="preserve">electricity distributors share of the network use will increase from </w:t>
            </w:r>
            <w:r w:rsidR="00D45408">
              <w:rPr>
                <w:rFonts w:ascii="Lato" w:hAnsi="Lato"/>
              </w:rPr>
              <w:t>1% (2023) to 29% (2026) as set out under</w:t>
            </w:r>
            <w:r w:rsidR="001840AA">
              <w:rPr>
                <w:rFonts w:ascii="Lato" w:hAnsi="Lato"/>
              </w:rPr>
              <w:t xml:space="preserve"> the table in</w:t>
            </w:r>
            <w:r w:rsidR="00D45408">
              <w:rPr>
                <w:rFonts w:ascii="Lato" w:hAnsi="Lato"/>
              </w:rPr>
              <w:t xml:space="preserve"> Figure 3</w:t>
            </w:r>
            <w:r w:rsidR="000330B2">
              <w:rPr>
                <w:rFonts w:ascii="Lato" w:hAnsi="Lato"/>
              </w:rPr>
              <w:t xml:space="preserve">. Similarly, the </w:t>
            </w:r>
            <w:r w:rsidR="00953AE3">
              <w:rPr>
                <w:rFonts w:ascii="Lato" w:hAnsi="Lato"/>
              </w:rPr>
              <w:t xml:space="preserve">date and methodology for the movements in the use of other SEC </w:t>
            </w:r>
            <w:r w:rsidR="00083C7A">
              <w:rPr>
                <w:rFonts w:ascii="Lato" w:hAnsi="Lato"/>
              </w:rPr>
              <w:t>Users (Suppliers)</w:t>
            </w:r>
            <w:r w:rsidR="001840AA">
              <w:rPr>
                <w:rFonts w:ascii="Lato" w:hAnsi="Lato"/>
              </w:rPr>
              <w:t xml:space="preserve"> </w:t>
            </w:r>
            <w:r w:rsidR="00953AE3">
              <w:rPr>
                <w:rFonts w:ascii="Lato" w:hAnsi="Lato"/>
              </w:rPr>
              <w:t>is also missing</w:t>
            </w:r>
            <w:r w:rsidR="000D10F9">
              <w:rPr>
                <w:rFonts w:ascii="Lato" w:hAnsi="Lato"/>
              </w:rPr>
              <w:t xml:space="preserve"> to enable a sense of scale.</w:t>
            </w:r>
            <w:r w:rsidR="00991435">
              <w:rPr>
                <w:rFonts w:ascii="Lato" w:hAnsi="Lato"/>
              </w:rPr>
              <w:t xml:space="preserve"> The data provided in the </w:t>
            </w:r>
            <w:r w:rsidR="003205AB">
              <w:rPr>
                <w:rFonts w:ascii="Lato" w:hAnsi="Lato"/>
              </w:rPr>
              <w:t xml:space="preserve">graph </w:t>
            </w:r>
            <w:r w:rsidR="00991435">
              <w:rPr>
                <w:rFonts w:ascii="Lato" w:hAnsi="Lato"/>
              </w:rPr>
              <w:t xml:space="preserve">under Figure </w:t>
            </w:r>
            <w:r w:rsidR="003205AB">
              <w:rPr>
                <w:rFonts w:ascii="Lato" w:hAnsi="Lato"/>
              </w:rPr>
              <w:t>2</w:t>
            </w:r>
            <w:r w:rsidR="00991435">
              <w:rPr>
                <w:rFonts w:ascii="Lato" w:hAnsi="Lato"/>
              </w:rPr>
              <w:t xml:space="preserve"> would infer the DCC is basing its </w:t>
            </w:r>
            <w:r w:rsidR="00CE71AA">
              <w:rPr>
                <w:rFonts w:ascii="Lato" w:hAnsi="Lato"/>
              </w:rPr>
              <w:t>assumptions</w:t>
            </w:r>
            <w:r w:rsidR="00B41D32">
              <w:rPr>
                <w:rFonts w:ascii="Lato" w:hAnsi="Lato"/>
              </w:rPr>
              <w:t xml:space="preserve"> for a review of the charging metho</w:t>
            </w:r>
            <w:r w:rsidR="007E6900">
              <w:rPr>
                <w:rFonts w:ascii="Lato" w:hAnsi="Lato"/>
              </w:rPr>
              <w:t>dology</w:t>
            </w:r>
            <w:r w:rsidR="00CE71AA">
              <w:rPr>
                <w:rFonts w:ascii="Lato" w:hAnsi="Lato"/>
              </w:rPr>
              <w:t xml:space="preserve"> on 3 months</w:t>
            </w:r>
            <w:r w:rsidR="00BA3894">
              <w:rPr>
                <w:rFonts w:ascii="Lato" w:hAnsi="Lato"/>
              </w:rPr>
              <w:t>’</w:t>
            </w:r>
            <w:r w:rsidR="00CE71AA">
              <w:rPr>
                <w:rFonts w:ascii="Lato" w:hAnsi="Lato"/>
              </w:rPr>
              <w:t xml:space="preserve"> worth of data (Jan </w:t>
            </w:r>
            <w:r w:rsidR="000A581A">
              <w:rPr>
                <w:rFonts w:ascii="Lato" w:hAnsi="Lato"/>
              </w:rPr>
              <w:t>– March 2024)</w:t>
            </w:r>
            <w:r w:rsidR="00AB5FF1">
              <w:rPr>
                <w:rFonts w:ascii="Lato" w:hAnsi="Lato"/>
              </w:rPr>
              <w:t>.</w:t>
            </w:r>
            <w:r w:rsidR="00C2052C">
              <w:rPr>
                <w:rFonts w:ascii="Lato" w:hAnsi="Lato"/>
              </w:rPr>
              <w:t xml:space="preserve"> We request the DCC share the assumptions and methodology</w:t>
            </w:r>
            <w:r w:rsidR="00B67668">
              <w:rPr>
                <w:rFonts w:ascii="Lato" w:hAnsi="Lato"/>
              </w:rPr>
              <w:t xml:space="preserve"> and consult with industry</w:t>
            </w:r>
            <w:r w:rsidR="00C2052C">
              <w:rPr>
                <w:rFonts w:ascii="Lato" w:hAnsi="Lato"/>
              </w:rPr>
              <w:t xml:space="preserve"> </w:t>
            </w:r>
            <w:r w:rsidR="00B67668">
              <w:rPr>
                <w:rFonts w:ascii="Lato" w:hAnsi="Lato"/>
              </w:rPr>
              <w:t>on</w:t>
            </w:r>
            <w:r w:rsidR="00C2052C">
              <w:rPr>
                <w:rFonts w:ascii="Lato" w:hAnsi="Lato"/>
              </w:rPr>
              <w:t xml:space="preserve"> their forecasts predicting a 28% raise in </w:t>
            </w:r>
            <w:r w:rsidR="00017106">
              <w:rPr>
                <w:rFonts w:ascii="Lato" w:hAnsi="Lato"/>
              </w:rPr>
              <w:t>network operator usages by 2026.</w:t>
            </w:r>
            <w:r w:rsidR="00172FD8">
              <w:rPr>
                <w:rFonts w:ascii="Lato" w:hAnsi="Lato"/>
              </w:rPr>
              <w:t xml:space="preserve"> </w:t>
            </w:r>
            <w:r w:rsidR="00B67668">
              <w:rPr>
                <w:rFonts w:ascii="Lato" w:hAnsi="Lato"/>
              </w:rPr>
              <w:t>This is similar to the</w:t>
            </w:r>
            <w:r w:rsidR="000D10F9">
              <w:rPr>
                <w:rFonts w:ascii="Lato" w:hAnsi="Lato"/>
              </w:rPr>
              <w:t xml:space="preserve"> Electricity Distributor request and</w:t>
            </w:r>
            <w:r w:rsidR="00B67668">
              <w:rPr>
                <w:rFonts w:ascii="Lato" w:hAnsi="Lato"/>
              </w:rPr>
              <w:t xml:space="preserve"> </w:t>
            </w:r>
            <w:r w:rsidR="00B70E91">
              <w:rPr>
                <w:rFonts w:ascii="Lato" w:hAnsi="Lato"/>
              </w:rPr>
              <w:t>route taken</w:t>
            </w:r>
            <w:r w:rsidR="006E67D1">
              <w:rPr>
                <w:rFonts w:ascii="Lato" w:hAnsi="Lato"/>
              </w:rPr>
              <w:t xml:space="preserve"> for DCC working with industry</w:t>
            </w:r>
            <w:r w:rsidR="00B70E91">
              <w:rPr>
                <w:rFonts w:ascii="Lato" w:hAnsi="Lato"/>
              </w:rPr>
              <w:t xml:space="preserve"> regarding the refinement of </w:t>
            </w:r>
            <w:r w:rsidR="00996EFF">
              <w:rPr>
                <w:rFonts w:ascii="Lato" w:hAnsi="Lato"/>
              </w:rPr>
              <w:t xml:space="preserve">assumptions/methodology used under </w:t>
            </w:r>
            <w:hyperlink r:id="rId15" w:history="1">
              <w:r w:rsidR="00B70E91" w:rsidRPr="00724031">
                <w:rPr>
                  <w:rStyle w:val="Hyperlink"/>
                  <w:rFonts w:ascii="Lato" w:hAnsi="Lato"/>
                </w:rPr>
                <w:t xml:space="preserve">SEC modification </w:t>
              </w:r>
              <w:r w:rsidR="00724031">
                <w:rPr>
                  <w:rStyle w:val="Hyperlink"/>
                  <w:rFonts w:ascii="Lato" w:hAnsi="Lato"/>
                </w:rPr>
                <w:t>M</w:t>
              </w:r>
              <w:r w:rsidR="00B70E91" w:rsidRPr="00724031">
                <w:rPr>
                  <w:rStyle w:val="Hyperlink"/>
                  <w:rFonts w:ascii="Lato" w:hAnsi="Lato"/>
                </w:rPr>
                <w:t>P96</w:t>
              </w:r>
            </w:hyperlink>
            <w:r w:rsidR="00B70E91">
              <w:rPr>
                <w:rFonts w:ascii="Lato" w:hAnsi="Lato"/>
              </w:rPr>
              <w:t xml:space="preserve"> </w:t>
            </w:r>
            <w:r w:rsidR="00996EFF">
              <w:rPr>
                <w:rFonts w:ascii="Lato" w:hAnsi="Lato"/>
              </w:rPr>
              <w:t>(</w:t>
            </w:r>
            <w:r w:rsidR="00B70E91">
              <w:rPr>
                <w:rFonts w:ascii="Lato" w:hAnsi="Lato"/>
              </w:rPr>
              <w:t>which faced similar challenges</w:t>
            </w:r>
            <w:r w:rsidR="00996EFF">
              <w:rPr>
                <w:rFonts w:ascii="Lato" w:hAnsi="Lato"/>
              </w:rPr>
              <w:t xml:space="preserve">). </w:t>
            </w:r>
            <w:r w:rsidR="00724031">
              <w:rPr>
                <w:rFonts w:ascii="Lato" w:hAnsi="Lato"/>
              </w:rPr>
              <w:t>Industry</w:t>
            </w:r>
            <w:r w:rsidR="00996EFF">
              <w:rPr>
                <w:rFonts w:ascii="Lato" w:hAnsi="Lato"/>
              </w:rPr>
              <w:t xml:space="preserve"> worked </w:t>
            </w:r>
            <w:r w:rsidR="00724031">
              <w:rPr>
                <w:rFonts w:ascii="Lato" w:hAnsi="Lato"/>
              </w:rPr>
              <w:t xml:space="preserve">collaboratively </w:t>
            </w:r>
            <w:r w:rsidR="00996EFF">
              <w:rPr>
                <w:rFonts w:ascii="Lato" w:hAnsi="Lato"/>
              </w:rPr>
              <w:t xml:space="preserve">with </w:t>
            </w:r>
            <w:r w:rsidR="00A87B1E">
              <w:rPr>
                <w:rFonts w:ascii="Lato" w:hAnsi="Lato"/>
              </w:rPr>
              <w:t xml:space="preserve">the DCC to facilitate better </w:t>
            </w:r>
            <w:r w:rsidR="00B70E91">
              <w:rPr>
                <w:rFonts w:ascii="Lato" w:hAnsi="Lato"/>
              </w:rPr>
              <w:t xml:space="preserve">understanding </w:t>
            </w:r>
            <w:r w:rsidR="00A87B1E">
              <w:rPr>
                <w:rFonts w:ascii="Lato" w:hAnsi="Lato"/>
              </w:rPr>
              <w:t>on t</w:t>
            </w:r>
            <w:r w:rsidR="00B70E91">
              <w:rPr>
                <w:rFonts w:ascii="Lato" w:hAnsi="Lato"/>
              </w:rPr>
              <w:t xml:space="preserve">he use </w:t>
            </w:r>
            <w:r w:rsidR="006E67D1">
              <w:rPr>
                <w:rFonts w:ascii="Lato" w:hAnsi="Lato"/>
              </w:rPr>
              <w:t>(</w:t>
            </w:r>
            <w:r w:rsidR="00B70E91">
              <w:rPr>
                <w:rFonts w:ascii="Lato" w:hAnsi="Lato"/>
              </w:rPr>
              <w:t>and forecasting accurately</w:t>
            </w:r>
            <w:r w:rsidR="006E67D1">
              <w:rPr>
                <w:rFonts w:ascii="Lato" w:hAnsi="Lato"/>
              </w:rPr>
              <w:t>)</w:t>
            </w:r>
            <w:r w:rsidR="00B70E91">
              <w:rPr>
                <w:rFonts w:ascii="Lato" w:hAnsi="Lato"/>
              </w:rPr>
              <w:t xml:space="preserve"> </w:t>
            </w:r>
            <w:r w:rsidR="006E67D1">
              <w:rPr>
                <w:rFonts w:ascii="Lato" w:hAnsi="Lato"/>
              </w:rPr>
              <w:t xml:space="preserve">of the </w:t>
            </w:r>
            <w:r w:rsidR="00877E3C">
              <w:rPr>
                <w:rFonts w:ascii="Lato" w:hAnsi="Lato"/>
              </w:rPr>
              <w:t xml:space="preserve">DCC </w:t>
            </w:r>
            <w:r w:rsidR="006E67D1">
              <w:rPr>
                <w:rFonts w:ascii="Lato" w:hAnsi="Lato"/>
              </w:rPr>
              <w:t>network</w:t>
            </w:r>
            <w:r w:rsidR="00A87B1E">
              <w:rPr>
                <w:rFonts w:ascii="Lato" w:hAnsi="Lato"/>
              </w:rPr>
              <w:t xml:space="preserve"> by Electricity Distributors</w:t>
            </w:r>
            <w:r w:rsidR="000563FD">
              <w:rPr>
                <w:rFonts w:ascii="Lato" w:hAnsi="Lato"/>
              </w:rPr>
              <w:t xml:space="preserve">. This approach was successful and </w:t>
            </w:r>
            <w:r w:rsidR="00A87B1E">
              <w:rPr>
                <w:rFonts w:ascii="Lato" w:hAnsi="Lato"/>
              </w:rPr>
              <w:t xml:space="preserve">ultimately </w:t>
            </w:r>
            <w:r w:rsidR="00724031">
              <w:rPr>
                <w:rFonts w:ascii="Lato" w:hAnsi="Lato"/>
              </w:rPr>
              <w:t>reflected in the final assumptions and methodology used</w:t>
            </w:r>
            <w:r w:rsidR="000563FD">
              <w:rPr>
                <w:rFonts w:ascii="Lato" w:hAnsi="Lato"/>
              </w:rPr>
              <w:t xml:space="preserve"> </w:t>
            </w:r>
            <w:r w:rsidR="00CE2A2C">
              <w:rPr>
                <w:rFonts w:ascii="Lato" w:hAnsi="Lato"/>
              </w:rPr>
              <w:t xml:space="preserve">being </w:t>
            </w:r>
            <w:r w:rsidR="00226E5A">
              <w:rPr>
                <w:rFonts w:ascii="Lato" w:hAnsi="Lato"/>
              </w:rPr>
              <w:t>accepted</w:t>
            </w:r>
            <w:r w:rsidR="00877E3C">
              <w:rPr>
                <w:rFonts w:ascii="Lato" w:hAnsi="Lato"/>
              </w:rPr>
              <w:t xml:space="preserve"> </w:t>
            </w:r>
            <w:r w:rsidR="000563FD">
              <w:rPr>
                <w:rFonts w:ascii="Lato" w:hAnsi="Lato"/>
              </w:rPr>
              <w:t>by Electricity Distributors.</w:t>
            </w:r>
          </w:p>
          <w:p w14:paraId="6647FA10" w14:textId="4456DBB0" w:rsidR="00747BC7" w:rsidRPr="00B56577" w:rsidRDefault="00747BC7" w:rsidP="00516328">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 </w:t>
            </w:r>
          </w:p>
        </w:tc>
      </w:tr>
      <w:tr w:rsidR="00312F3A" w:rsidRPr="00B56577" w14:paraId="1746CC52" w14:textId="2BBE4DE6" w:rsidTr="007915DB">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EFB4CC4" w14:textId="3425F089" w:rsidR="00312F3A" w:rsidRPr="00B56577" w:rsidRDefault="00812636" w:rsidP="00312F3A">
            <w:pPr>
              <w:pStyle w:val="TableText-Left"/>
              <w:spacing w:line="276" w:lineRule="auto"/>
              <w:jc w:val="center"/>
              <w:rPr>
                <w:rFonts w:ascii="Lato" w:hAnsi="Lato"/>
                <w:color w:val="auto"/>
              </w:rPr>
            </w:pPr>
            <w:r w:rsidRPr="00B56577">
              <w:rPr>
                <w:rFonts w:ascii="Lato" w:hAnsi="Lato"/>
                <w:color w:val="auto"/>
              </w:rPr>
              <w:lastRenderedPageBreak/>
              <w:t>Q2</w:t>
            </w:r>
          </w:p>
        </w:tc>
        <w:tc>
          <w:tcPr>
            <w:tcW w:w="444" w:type="pct"/>
            <w:vAlign w:val="center"/>
          </w:tcPr>
          <w:p w14:paraId="4A576EE9" w14:textId="760946CC" w:rsidR="00312F3A" w:rsidRPr="00B56577" w:rsidRDefault="00395E93"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395E93">
              <w:rPr>
                <w:rFonts w:ascii="Lato" w:hAnsi="Lato"/>
              </w:rPr>
              <w:t>Do you have any comments on the guiding principles detailed at figure 4?</w:t>
            </w:r>
          </w:p>
        </w:tc>
        <w:tc>
          <w:tcPr>
            <w:tcW w:w="4190" w:type="pct"/>
            <w:vAlign w:val="center"/>
          </w:tcPr>
          <w:p w14:paraId="62E68274" w14:textId="77777777" w:rsidR="00AE1884" w:rsidRDefault="00AE1884" w:rsidP="00244AA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Yes. We have the following comments:</w:t>
            </w:r>
          </w:p>
          <w:p w14:paraId="4794E4AA" w14:textId="77777777" w:rsidR="00226E5A" w:rsidRDefault="00AE1884" w:rsidP="00244AA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1) </w:t>
            </w:r>
            <w:r w:rsidR="00EF02CD">
              <w:rPr>
                <w:rFonts w:ascii="Lato" w:hAnsi="Lato"/>
              </w:rPr>
              <w:t>M</w:t>
            </w:r>
            <w:r w:rsidR="00223BA4">
              <w:rPr>
                <w:rFonts w:ascii="Lato" w:hAnsi="Lato"/>
              </w:rPr>
              <w:t xml:space="preserve">aking entry costs low and </w:t>
            </w:r>
            <w:r w:rsidR="004A0316">
              <w:rPr>
                <w:rFonts w:ascii="Lato" w:hAnsi="Lato"/>
              </w:rPr>
              <w:t>minimising charges</w:t>
            </w:r>
            <w:r w:rsidR="00EF02CD">
              <w:rPr>
                <w:rFonts w:ascii="Lato" w:hAnsi="Lato"/>
              </w:rPr>
              <w:t xml:space="preserve"> for</w:t>
            </w:r>
            <w:r w:rsidR="004A0316">
              <w:rPr>
                <w:rFonts w:ascii="Lato" w:hAnsi="Lato"/>
              </w:rPr>
              <w:t xml:space="preserve"> </w:t>
            </w:r>
            <w:r w:rsidR="00297113">
              <w:rPr>
                <w:rFonts w:ascii="Lato" w:hAnsi="Lato"/>
              </w:rPr>
              <w:t xml:space="preserve">small scale innovators and not for profits </w:t>
            </w:r>
            <w:r w:rsidR="009628B2">
              <w:rPr>
                <w:rFonts w:ascii="Lato" w:hAnsi="Lato"/>
              </w:rPr>
              <w:t xml:space="preserve">inherently </w:t>
            </w:r>
            <w:r w:rsidR="004A0316">
              <w:rPr>
                <w:rFonts w:ascii="Lato" w:hAnsi="Lato"/>
              </w:rPr>
              <w:t xml:space="preserve">means that some element of cost </w:t>
            </w:r>
            <w:r w:rsidR="008139FC">
              <w:rPr>
                <w:rFonts w:ascii="Lato" w:hAnsi="Lato"/>
              </w:rPr>
              <w:t xml:space="preserve">or risk </w:t>
            </w:r>
            <w:r w:rsidR="00E23BF4">
              <w:rPr>
                <w:rFonts w:ascii="Lato" w:hAnsi="Lato"/>
              </w:rPr>
              <w:t>must be</w:t>
            </w:r>
            <w:r w:rsidR="004A0316">
              <w:rPr>
                <w:rFonts w:ascii="Lato" w:hAnsi="Lato"/>
              </w:rPr>
              <w:t xml:space="preserve"> socialised </w:t>
            </w:r>
            <w:r w:rsidR="00275C42">
              <w:rPr>
                <w:rFonts w:ascii="Lato" w:hAnsi="Lato"/>
              </w:rPr>
              <w:t xml:space="preserve">across other parties. </w:t>
            </w:r>
            <w:r w:rsidR="002D1701">
              <w:rPr>
                <w:rFonts w:ascii="Lato" w:hAnsi="Lato"/>
              </w:rPr>
              <w:t xml:space="preserve">Combing it with the wider review </w:t>
            </w:r>
            <w:r w:rsidR="00AF0DA4">
              <w:rPr>
                <w:rFonts w:ascii="Lato" w:hAnsi="Lato"/>
              </w:rPr>
              <w:t xml:space="preserve">detailed in this proposal makes it more difficult. There may be other </w:t>
            </w:r>
            <w:r w:rsidR="00EE2F95">
              <w:rPr>
                <w:rFonts w:ascii="Lato" w:hAnsi="Lato"/>
              </w:rPr>
              <w:t xml:space="preserve">and better </w:t>
            </w:r>
            <w:r w:rsidR="00AF0DA4">
              <w:rPr>
                <w:rFonts w:ascii="Lato" w:hAnsi="Lato"/>
              </w:rPr>
              <w:t>ways of facilitating this</w:t>
            </w:r>
            <w:r w:rsidR="00DA5E34">
              <w:rPr>
                <w:rFonts w:ascii="Lato" w:hAnsi="Lato"/>
              </w:rPr>
              <w:t xml:space="preserve"> as suggested above.</w:t>
            </w:r>
          </w:p>
          <w:p w14:paraId="61DB0C2D" w14:textId="5F9A900B" w:rsidR="00AE1884" w:rsidRDefault="00AE1884" w:rsidP="00244AA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2) </w:t>
            </w:r>
            <w:r w:rsidR="00AA5BE5">
              <w:rPr>
                <w:rFonts w:ascii="Lato" w:hAnsi="Lato"/>
              </w:rPr>
              <w:t xml:space="preserve">the DCC licence condition 18 requires that the DCC in </w:t>
            </w:r>
            <w:r w:rsidR="00F115A9">
              <w:rPr>
                <w:rFonts w:ascii="Lato" w:hAnsi="Lato"/>
              </w:rPr>
              <w:t xml:space="preserve">raising a modification to </w:t>
            </w:r>
            <w:r w:rsidR="00AA5BE5">
              <w:rPr>
                <w:rFonts w:ascii="Lato" w:hAnsi="Lato"/>
              </w:rPr>
              <w:t xml:space="preserve">charging </w:t>
            </w:r>
            <w:r w:rsidR="00F115A9">
              <w:rPr>
                <w:rFonts w:ascii="Lato" w:hAnsi="Lato"/>
              </w:rPr>
              <w:t>methodology</w:t>
            </w:r>
            <w:r w:rsidR="00AA5BE5">
              <w:rPr>
                <w:rFonts w:ascii="Lato" w:hAnsi="Lato"/>
              </w:rPr>
              <w:t xml:space="preserve"> </w:t>
            </w:r>
            <w:r w:rsidR="00F115A9">
              <w:rPr>
                <w:rFonts w:ascii="Lato" w:hAnsi="Lato"/>
              </w:rPr>
              <w:t xml:space="preserve">must demonstrate </w:t>
            </w:r>
            <w:r w:rsidR="00E22E1C">
              <w:rPr>
                <w:rFonts w:ascii="Lato" w:hAnsi="Lato"/>
              </w:rPr>
              <w:t xml:space="preserve">that the </w:t>
            </w:r>
            <w:r w:rsidR="00D84F68">
              <w:rPr>
                <w:rFonts w:ascii="Lato" w:hAnsi="Lato"/>
              </w:rPr>
              <w:t>modification</w:t>
            </w:r>
            <w:r w:rsidR="00E22E1C">
              <w:rPr>
                <w:rFonts w:ascii="Lato" w:hAnsi="Lato"/>
              </w:rPr>
              <w:t xml:space="preserve"> wi</w:t>
            </w:r>
            <w:r w:rsidR="001F1B9C">
              <w:rPr>
                <w:rFonts w:ascii="Lato" w:hAnsi="Lato"/>
              </w:rPr>
              <w:t>ll</w:t>
            </w:r>
            <w:r w:rsidR="00E22E1C">
              <w:rPr>
                <w:rFonts w:ascii="Lato" w:hAnsi="Lato"/>
              </w:rPr>
              <w:t xml:space="preserve"> better achieve </w:t>
            </w:r>
            <w:r w:rsidR="007622CE">
              <w:rPr>
                <w:rFonts w:ascii="Lato" w:hAnsi="Lato"/>
              </w:rPr>
              <w:t xml:space="preserve">the policy objectives of the charging methodology. This should be </w:t>
            </w:r>
            <w:r w:rsidR="001F1B9C">
              <w:rPr>
                <w:rFonts w:ascii="Lato" w:hAnsi="Lato"/>
              </w:rPr>
              <w:t xml:space="preserve">the fundamental yardstick of </w:t>
            </w:r>
            <w:r w:rsidR="007622CE">
              <w:rPr>
                <w:rFonts w:ascii="Lato" w:hAnsi="Lato"/>
              </w:rPr>
              <w:t xml:space="preserve">the guiding principles. </w:t>
            </w:r>
          </w:p>
          <w:p w14:paraId="3EBF2CF3" w14:textId="2FC96765" w:rsidR="00312F3A" w:rsidRPr="00B56577" w:rsidRDefault="00312F3A" w:rsidP="00244AA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bl>
    <w:p w14:paraId="0A15259C" w14:textId="77777777" w:rsidR="00C45A9D" w:rsidRDefault="00C45A9D"/>
    <w:p w14:paraId="7F917E21" w14:textId="0BA0B87E" w:rsidR="005D5D2A" w:rsidRPr="005D5D2A" w:rsidRDefault="005D5D2A" w:rsidP="005D5D2A">
      <w:pPr>
        <w:pStyle w:val="Heading2"/>
        <w:keepNext w:val="0"/>
        <w:spacing w:before="220" w:after="220"/>
        <w:ind w:left="709" w:hanging="709"/>
        <w:rPr>
          <w:rFonts w:ascii="Lato" w:eastAsiaTheme="minorHAnsi" w:hAnsi="Lato" w:cstheme="minorBidi"/>
          <w:bCs w:val="0"/>
          <w:iCs w:val="0"/>
          <w:color w:val="CA005D"/>
          <w:szCs w:val="22"/>
        </w:rPr>
      </w:pPr>
      <w:r w:rsidRPr="005D5D2A">
        <w:rPr>
          <w:rFonts w:ascii="Lato" w:eastAsiaTheme="minorHAnsi" w:hAnsi="Lato" w:cstheme="minorBidi"/>
          <w:bCs w:val="0"/>
          <w:iCs w:val="0"/>
          <w:color w:val="CA005D"/>
          <w:szCs w:val="22"/>
        </w:rPr>
        <w:t>Questions on scope of charges under review</w:t>
      </w:r>
    </w:p>
    <w:tbl>
      <w:tblPr>
        <w:tblStyle w:val="TableTemplate1"/>
        <w:tblW w:w="5000" w:type="pct"/>
        <w:tblLook w:val="04A0" w:firstRow="1" w:lastRow="0" w:firstColumn="1" w:lastColumn="0" w:noHBand="0" w:noVBand="1"/>
      </w:tblPr>
      <w:tblGrid>
        <w:gridCol w:w="1021"/>
        <w:gridCol w:w="2514"/>
        <w:gridCol w:w="10403"/>
      </w:tblGrid>
      <w:tr w:rsidR="00C45A9D" w:rsidRPr="00B56577" w14:paraId="6A4A2C72" w14:textId="77777777" w:rsidTr="00E506F3">
        <w:trPr>
          <w:cnfStyle w:val="100000000000" w:firstRow="1" w:lastRow="0" w:firstColumn="0" w:lastColumn="0" w:oddVBand="0" w:evenVBand="0" w:oddHBand="0" w:evenHBand="0" w:firstRowFirstColumn="0" w:firstRowLastColumn="0" w:lastRowFirstColumn="0" w:lastRowLastColumn="0"/>
          <w:trHeight w:val="66"/>
        </w:trPr>
        <w:tc>
          <w:tcPr>
            <w:cnfStyle w:val="001000000000" w:firstRow="0" w:lastRow="0" w:firstColumn="1" w:lastColumn="0" w:oddVBand="0" w:evenVBand="0" w:oddHBand="0" w:evenHBand="0" w:firstRowFirstColumn="0" w:firstRowLastColumn="0" w:lastRowFirstColumn="0" w:lastRowLastColumn="0"/>
            <w:tcW w:w="366" w:type="pct"/>
            <w:vAlign w:val="top"/>
          </w:tcPr>
          <w:p w14:paraId="196EB028" w14:textId="6558706E" w:rsidR="00C45A9D" w:rsidRPr="00B56577" w:rsidRDefault="00C45A9D" w:rsidP="00C45A9D">
            <w:pPr>
              <w:pStyle w:val="TableText-Left"/>
              <w:spacing w:line="276" w:lineRule="auto"/>
              <w:jc w:val="center"/>
              <w:rPr>
                <w:rFonts w:ascii="Lato" w:hAnsi="Lato"/>
              </w:rPr>
            </w:pPr>
            <w:r w:rsidRPr="00B56577">
              <w:rPr>
                <w:rFonts w:ascii="Lato" w:hAnsi="Lato"/>
              </w:rPr>
              <w:lastRenderedPageBreak/>
              <w:t>Numb</w:t>
            </w:r>
            <w:r>
              <w:rPr>
                <w:rFonts w:ascii="Lato" w:hAnsi="Lato"/>
              </w:rPr>
              <w:t>er</w:t>
            </w:r>
          </w:p>
        </w:tc>
        <w:tc>
          <w:tcPr>
            <w:tcW w:w="902" w:type="pct"/>
            <w:vAlign w:val="top"/>
          </w:tcPr>
          <w:p w14:paraId="4668AB99" w14:textId="0CDE29EB" w:rsidR="00C45A9D" w:rsidRPr="007941CD" w:rsidRDefault="00C45A9D" w:rsidP="00C45A9D">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3732" w:type="pct"/>
            <w:vAlign w:val="top"/>
          </w:tcPr>
          <w:p w14:paraId="388BE7D8" w14:textId="41FADCCF" w:rsidR="00C45A9D" w:rsidRPr="00B56577" w:rsidRDefault="00C45A9D" w:rsidP="00C45A9D">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C45A9D" w:rsidRPr="00B56577" w14:paraId="57F37949" w14:textId="77777777" w:rsidTr="00E506F3">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3FD9F6E7" w14:textId="747B75F9" w:rsidR="00C45A9D" w:rsidRPr="00B56577" w:rsidRDefault="00C45A9D" w:rsidP="00C45A9D">
            <w:pPr>
              <w:pStyle w:val="TableText-Left"/>
              <w:spacing w:line="276" w:lineRule="auto"/>
              <w:jc w:val="center"/>
              <w:rPr>
                <w:rFonts w:ascii="Lato" w:hAnsi="Lato"/>
                <w:color w:val="auto"/>
              </w:rPr>
            </w:pPr>
            <w:r w:rsidRPr="00B56577">
              <w:rPr>
                <w:rFonts w:ascii="Lato" w:hAnsi="Lato"/>
                <w:color w:val="auto"/>
              </w:rPr>
              <w:t>Q3</w:t>
            </w:r>
          </w:p>
        </w:tc>
        <w:tc>
          <w:tcPr>
            <w:tcW w:w="902" w:type="pct"/>
            <w:vAlign w:val="center"/>
          </w:tcPr>
          <w:p w14:paraId="27E1D502" w14:textId="170D0170" w:rsidR="00C45A9D" w:rsidRPr="00B56577" w:rsidRDefault="00A14040" w:rsidP="00C45A9D">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A14040">
              <w:rPr>
                <w:rFonts w:ascii="Lato" w:hAnsi="Lato"/>
              </w:rPr>
              <w:t>Do you agree with the scope of this review given the proportion of costs recovered through Fixed Charges in DCC’s cost structure, including the need to better understand and categorise costs (e.g. transaction costs). If not, please explain why.</w:t>
            </w:r>
          </w:p>
        </w:tc>
        <w:tc>
          <w:tcPr>
            <w:tcW w:w="3732" w:type="pct"/>
            <w:vAlign w:val="center"/>
          </w:tcPr>
          <w:p w14:paraId="16167648" w14:textId="09170F2B" w:rsidR="00EF469F" w:rsidRDefault="00D749B3" w:rsidP="0096472F">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We are unable to agree to the scope of the review</w:t>
            </w:r>
            <w:r w:rsidR="00E85026">
              <w:rPr>
                <w:rFonts w:ascii="Lato" w:hAnsi="Lato"/>
              </w:rPr>
              <w:t xml:space="preserve"> for the following reasons:</w:t>
            </w:r>
            <w:r w:rsidR="00A85DFF">
              <w:rPr>
                <w:rFonts w:ascii="Lato" w:hAnsi="Lato"/>
              </w:rPr>
              <w:t xml:space="preserve"> </w:t>
            </w:r>
          </w:p>
          <w:p w14:paraId="5C46529B" w14:textId="09F2C2F6" w:rsidR="00EF469F" w:rsidRDefault="00D749B3" w:rsidP="006E2D78">
            <w:pPr>
              <w:pStyle w:val="TableText-Left"/>
              <w:numPr>
                <w:ilvl w:val="0"/>
                <w:numId w:val="42"/>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in absence of sight of the detailed data</w:t>
            </w:r>
            <w:r w:rsidR="00950573">
              <w:rPr>
                <w:rFonts w:ascii="Lato" w:hAnsi="Lato"/>
              </w:rPr>
              <w:t>, significant sample size</w:t>
            </w:r>
            <w:r>
              <w:rPr>
                <w:rFonts w:ascii="Lato" w:hAnsi="Lato"/>
              </w:rPr>
              <w:t xml:space="preserve"> and methodology which underpins the DCCs forecasting assumptions for the use of the network</w:t>
            </w:r>
            <w:r w:rsidR="00950573">
              <w:rPr>
                <w:rFonts w:ascii="Lato" w:hAnsi="Lato"/>
              </w:rPr>
              <w:t xml:space="preserve"> beyond Other </w:t>
            </w:r>
            <w:proofErr w:type="gramStart"/>
            <w:r w:rsidR="00950573">
              <w:rPr>
                <w:rFonts w:ascii="Lato" w:hAnsi="Lato"/>
              </w:rPr>
              <w:t>Users</w:t>
            </w:r>
            <w:proofErr w:type="gramEnd"/>
            <w:r w:rsidR="00F6436A">
              <w:rPr>
                <w:rFonts w:ascii="Lato" w:hAnsi="Lato"/>
              </w:rPr>
              <w:t xml:space="preserve"> and which would trigger a justification for exploring options 2 -5.</w:t>
            </w:r>
            <w:r>
              <w:rPr>
                <w:rFonts w:ascii="Lato" w:hAnsi="Lato"/>
              </w:rPr>
              <w:t xml:space="preserve"> </w:t>
            </w:r>
          </w:p>
          <w:p w14:paraId="09ABE8C4" w14:textId="0896A5A2" w:rsidR="00C45A9D" w:rsidRDefault="00162C6F" w:rsidP="006E2D78">
            <w:pPr>
              <w:pStyle w:val="TableText-Left"/>
              <w:numPr>
                <w:ilvl w:val="0"/>
                <w:numId w:val="42"/>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The options put forward </w:t>
            </w:r>
            <w:r w:rsidR="00660646">
              <w:rPr>
                <w:rFonts w:ascii="Lato" w:hAnsi="Lato"/>
              </w:rPr>
              <w:t xml:space="preserve">are varied, relatively complex and </w:t>
            </w:r>
            <w:r w:rsidR="001F6665">
              <w:rPr>
                <w:rFonts w:ascii="Lato" w:hAnsi="Lato"/>
              </w:rPr>
              <w:t xml:space="preserve">each has unique considerations </w:t>
            </w:r>
            <w:r w:rsidR="00747BC7">
              <w:rPr>
                <w:rFonts w:ascii="Lato" w:hAnsi="Lato"/>
              </w:rPr>
              <w:t xml:space="preserve">and risk </w:t>
            </w:r>
            <w:r w:rsidR="001F6665">
              <w:rPr>
                <w:rFonts w:ascii="Lato" w:hAnsi="Lato"/>
              </w:rPr>
              <w:t>for us</w:t>
            </w:r>
            <w:r w:rsidR="00EE2F95">
              <w:rPr>
                <w:rFonts w:ascii="Lato" w:hAnsi="Lato"/>
              </w:rPr>
              <w:t xml:space="preserve"> as a Network Operator</w:t>
            </w:r>
            <w:r w:rsidR="001F6665">
              <w:rPr>
                <w:rFonts w:ascii="Lato" w:hAnsi="Lato"/>
              </w:rPr>
              <w:t>.</w:t>
            </w:r>
            <w:r w:rsidR="0046491A">
              <w:rPr>
                <w:rFonts w:ascii="Lato" w:hAnsi="Lato"/>
              </w:rPr>
              <w:t xml:space="preserve"> They also significantly impact the way that DCC is </w:t>
            </w:r>
            <w:proofErr w:type="gramStart"/>
            <w:r w:rsidR="0046491A">
              <w:rPr>
                <w:rFonts w:ascii="Lato" w:hAnsi="Lato"/>
              </w:rPr>
              <w:t>funded</w:t>
            </w:r>
            <w:proofErr w:type="gramEnd"/>
            <w:r w:rsidR="0046491A">
              <w:rPr>
                <w:rFonts w:ascii="Lato" w:hAnsi="Lato"/>
              </w:rPr>
              <w:t xml:space="preserve"> and </w:t>
            </w:r>
            <w:r w:rsidR="0020036B">
              <w:rPr>
                <w:rFonts w:ascii="Lato" w:hAnsi="Lato"/>
              </w:rPr>
              <w:t>risk associated with cost recovery for them.</w:t>
            </w:r>
          </w:p>
          <w:p w14:paraId="4F9669CE" w14:textId="17CB8D5C" w:rsidR="003734B8" w:rsidRPr="00014C15" w:rsidRDefault="006D5163" w:rsidP="00495F29">
            <w:pPr>
              <w:pStyle w:val="TableText-Left"/>
              <w:numPr>
                <w:ilvl w:val="0"/>
                <w:numId w:val="42"/>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95F29">
              <w:rPr>
                <w:rFonts w:ascii="Lato" w:hAnsi="Lato"/>
              </w:rPr>
              <w:t xml:space="preserve">Paragraph 29 </w:t>
            </w:r>
            <w:r w:rsidR="004411CC" w:rsidRPr="00495F29">
              <w:rPr>
                <w:rFonts w:ascii="Lato" w:hAnsi="Lato"/>
              </w:rPr>
              <w:t>st</w:t>
            </w:r>
            <w:r w:rsidR="00862110" w:rsidRPr="00495F29">
              <w:rPr>
                <w:rFonts w:ascii="Lato" w:hAnsi="Lato"/>
              </w:rPr>
              <w:t>at</w:t>
            </w:r>
            <w:r w:rsidR="004411CC" w:rsidRPr="00495F29">
              <w:rPr>
                <w:rFonts w:ascii="Lato" w:hAnsi="Lato"/>
              </w:rPr>
              <w:t xml:space="preserve">es that 91% of DCC </w:t>
            </w:r>
            <w:r w:rsidR="00862110" w:rsidRPr="00495F29">
              <w:rPr>
                <w:rFonts w:ascii="Lato" w:hAnsi="Lato"/>
              </w:rPr>
              <w:t>charges are through fixed cost charges</w:t>
            </w:r>
            <w:r w:rsidR="003734B8" w:rsidRPr="00495F29">
              <w:rPr>
                <w:rFonts w:ascii="Lato" w:hAnsi="Lato"/>
              </w:rPr>
              <w:t xml:space="preserve"> </w:t>
            </w:r>
            <w:r w:rsidR="00495F29" w:rsidRPr="00495F29">
              <w:rPr>
                <w:rFonts w:ascii="Lato" w:hAnsi="Lato"/>
              </w:rPr>
              <w:t>but</w:t>
            </w:r>
            <w:r w:rsidR="00862110" w:rsidRPr="00495F29">
              <w:rPr>
                <w:rFonts w:ascii="Lato" w:hAnsi="Lato"/>
              </w:rPr>
              <w:t xml:space="preserve"> then </w:t>
            </w:r>
            <w:r w:rsidR="00116171" w:rsidRPr="00495F29">
              <w:rPr>
                <w:rFonts w:ascii="Lato" w:hAnsi="Lato"/>
              </w:rPr>
              <w:t xml:space="preserve">goes on to say that these are most affected by the way </w:t>
            </w:r>
            <w:r w:rsidR="00465681" w:rsidRPr="00495F29">
              <w:rPr>
                <w:rFonts w:ascii="Lato" w:hAnsi="Lato"/>
              </w:rPr>
              <w:t>that Users make use of DCCs network.</w:t>
            </w:r>
            <w:r w:rsidR="00014C15">
              <w:rPr>
                <w:rFonts w:ascii="Lato" w:hAnsi="Lato"/>
              </w:rPr>
              <w:t xml:space="preserve"> </w:t>
            </w:r>
            <w:r w:rsidR="007F0E7D" w:rsidRPr="00014C15">
              <w:rPr>
                <w:rFonts w:ascii="Lato" w:hAnsi="Lato"/>
              </w:rPr>
              <w:t xml:space="preserve">It is not clear what proportion of the cost </w:t>
            </w:r>
            <w:r w:rsidR="00C31169" w:rsidRPr="00014C15">
              <w:rPr>
                <w:rFonts w:ascii="Lato" w:hAnsi="Lato"/>
              </w:rPr>
              <w:t>is i</w:t>
            </w:r>
            <w:r w:rsidR="007F0E7D" w:rsidRPr="00014C15">
              <w:rPr>
                <w:rFonts w:ascii="Lato" w:hAnsi="Lato"/>
              </w:rPr>
              <w:t xml:space="preserve">ncurred </w:t>
            </w:r>
            <w:r w:rsidR="003734B8" w:rsidRPr="00014C15">
              <w:rPr>
                <w:rFonts w:ascii="Lato" w:hAnsi="Lato"/>
              </w:rPr>
              <w:t xml:space="preserve">whether </w:t>
            </w:r>
            <w:r w:rsidR="00C31169" w:rsidRPr="00014C15">
              <w:rPr>
                <w:rFonts w:ascii="Lato" w:hAnsi="Lato"/>
              </w:rPr>
              <w:t xml:space="preserve">use is made of it or not. </w:t>
            </w:r>
            <w:r w:rsidR="009F17B5" w:rsidRPr="00014C15">
              <w:rPr>
                <w:rFonts w:ascii="Lato" w:hAnsi="Lato"/>
              </w:rPr>
              <w:t xml:space="preserve">Better clarity on </w:t>
            </w:r>
            <w:r w:rsidR="003734B8" w:rsidRPr="00014C15">
              <w:rPr>
                <w:rFonts w:ascii="Lato" w:hAnsi="Lato"/>
              </w:rPr>
              <w:t xml:space="preserve">what proportion of the cost is </w:t>
            </w:r>
            <w:r w:rsidR="00863E4E" w:rsidRPr="00014C15">
              <w:rPr>
                <w:rFonts w:ascii="Lato" w:hAnsi="Lato"/>
              </w:rPr>
              <w:t xml:space="preserve">incurred </w:t>
            </w:r>
            <w:r w:rsidR="00971EF5" w:rsidRPr="00014C15">
              <w:rPr>
                <w:rFonts w:ascii="Lato" w:hAnsi="Lato"/>
              </w:rPr>
              <w:t xml:space="preserve">no matter how much traffic is handled and how much </w:t>
            </w:r>
            <w:r w:rsidR="003734B8" w:rsidRPr="00014C15">
              <w:rPr>
                <w:rFonts w:ascii="Lato" w:hAnsi="Lato"/>
              </w:rPr>
              <w:t>is incurred</w:t>
            </w:r>
            <w:r w:rsidR="00F176DA" w:rsidRPr="00014C15">
              <w:rPr>
                <w:rFonts w:ascii="Lato" w:hAnsi="Lato"/>
              </w:rPr>
              <w:t xml:space="preserve"> by the traffic </w:t>
            </w:r>
            <w:r w:rsidR="005726F7" w:rsidRPr="00014C15">
              <w:rPr>
                <w:rFonts w:ascii="Lato" w:hAnsi="Lato"/>
              </w:rPr>
              <w:t>using it w</w:t>
            </w:r>
            <w:r w:rsidR="004E14A6" w:rsidRPr="00014C15">
              <w:rPr>
                <w:rFonts w:ascii="Lato" w:hAnsi="Lato"/>
              </w:rPr>
              <w:t>ill better aid understanding</w:t>
            </w:r>
            <w:r w:rsidR="003734B8" w:rsidRPr="00014C15">
              <w:rPr>
                <w:rFonts w:ascii="Lato" w:hAnsi="Lato"/>
              </w:rPr>
              <w:t>.</w:t>
            </w:r>
          </w:p>
          <w:p w14:paraId="24821A85" w14:textId="1EEB560B" w:rsidR="00AA249E" w:rsidRPr="006E5894" w:rsidRDefault="00B732C7" w:rsidP="00AA249E">
            <w:pPr>
              <w:pStyle w:val="TableText-Left"/>
              <w:numPr>
                <w:ilvl w:val="0"/>
                <w:numId w:val="42"/>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Within Paragraph 8, it s</w:t>
            </w:r>
            <w:r w:rsidR="003734B8" w:rsidRPr="00495F29">
              <w:rPr>
                <w:rFonts w:ascii="Lato" w:hAnsi="Lato"/>
              </w:rPr>
              <w:t>ays that in 2014, only 0.2% of costs were associated with traffic. How has this changed</w:t>
            </w:r>
            <w:r w:rsidR="00DA5E34">
              <w:rPr>
                <w:rFonts w:ascii="Lato" w:hAnsi="Lato"/>
              </w:rPr>
              <w:t xml:space="preserve">, </w:t>
            </w:r>
            <w:r w:rsidR="003734B8" w:rsidRPr="00495F29">
              <w:rPr>
                <w:rFonts w:ascii="Lato" w:hAnsi="Lato"/>
              </w:rPr>
              <w:t xml:space="preserve">now build </w:t>
            </w:r>
            <w:r w:rsidR="002E1B6D">
              <w:rPr>
                <w:rFonts w:ascii="Lato" w:hAnsi="Lato"/>
              </w:rPr>
              <w:t xml:space="preserve">is </w:t>
            </w:r>
            <w:r w:rsidR="003734B8" w:rsidRPr="00495F29">
              <w:rPr>
                <w:rFonts w:ascii="Lato" w:hAnsi="Lato"/>
              </w:rPr>
              <w:t>substantially complete</w:t>
            </w:r>
            <w:r w:rsidR="004814C0">
              <w:rPr>
                <w:rFonts w:ascii="Lato" w:hAnsi="Lato"/>
              </w:rPr>
              <w:t>?</w:t>
            </w:r>
          </w:p>
          <w:p w14:paraId="2E4015D1" w14:textId="3F702D46" w:rsidR="00AA249E" w:rsidRDefault="00AA249E" w:rsidP="006E2D78">
            <w:pPr>
              <w:pStyle w:val="TableText-Left"/>
              <w:numPr>
                <w:ilvl w:val="0"/>
                <w:numId w:val="42"/>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8A24C9">
              <w:rPr>
                <w:rFonts w:ascii="Lato" w:hAnsi="Lato"/>
              </w:rPr>
              <w:t xml:space="preserve">The document refers to </w:t>
            </w:r>
            <w:r w:rsidR="00AB1D7A">
              <w:rPr>
                <w:rFonts w:ascii="Lato" w:hAnsi="Lato"/>
              </w:rPr>
              <w:t xml:space="preserve">charging on </w:t>
            </w:r>
            <w:r w:rsidRPr="008A24C9">
              <w:rPr>
                <w:rFonts w:ascii="Lato" w:hAnsi="Lato"/>
              </w:rPr>
              <w:t xml:space="preserve">‘a per meter </w:t>
            </w:r>
            <w:proofErr w:type="spellStart"/>
            <w:r w:rsidRPr="008A24C9">
              <w:rPr>
                <w:rFonts w:ascii="Lato" w:hAnsi="Lato"/>
              </w:rPr>
              <w:t>basis’</w:t>
            </w:r>
            <w:proofErr w:type="spellEnd"/>
            <w:r w:rsidRPr="008A24C9">
              <w:rPr>
                <w:rFonts w:ascii="Lato" w:hAnsi="Lato"/>
              </w:rPr>
              <w:t xml:space="preserve"> but does not clearly state if this is per meter per exit point or per enrolled meter</w:t>
            </w:r>
            <w:r>
              <w:rPr>
                <w:rFonts w:ascii="Lato" w:hAnsi="Lato"/>
              </w:rPr>
              <w:t>.</w:t>
            </w:r>
          </w:p>
          <w:p w14:paraId="1DB58672" w14:textId="1080B147" w:rsidR="003734B8" w:rsidRPr="00895FD6" w:rsidRDefault="003734B8" w:rsidP="0096472F">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bl>
    <w:p w14:paraId="5B33F1EE" w14:textId="3383D6F1" w:rsidR="005D5D2A" w:rsidRPr="00773AE9" w:rsidRDefault="00773AE9" w:rsidP="00A14040">
      <w:pPr>
        <w:pStyle w:val="Heading2"/>
        <w:spacing w:before="220" w:after="220"/>
        <w:ind w:left="709" w:hanging="709"/>
        <w:rPr>
          <w:rFonts w:ascii="Lato" w:eastAsiaTheme="minorHAnsi" w:hAnsi="Lato" w:cstheme="minorBidi"/>
          <w:bCs w:val="0"/>
          <w:iCs w:val="0"/>
          <w:color w:val="CA005D"/>
          <w:szCs w:val="22"/>
        </w:rPr>
      </w:pPr>
      <w:r w:rsidRPr="00773AE9">
        <w:rPr>
          <w:rFonts w:ascii="Lato" w:eastAsiaTheme="minorHAnsi" w:hAnsi="Lato" w:cstheme="minorBidi"/>
          <w:bCs w:val="0"/>
          <w:iCs w:val="0"/>
          <w:color w:val="CA005D"/>
          <w:szCs w:val="22"/>
        </w:rPr>
        <w:lastRenderedPageBreak/>
        <w:t>Questions on uniform charging</w:t>
      </w:r>
    </w:p>
    <w:tbl>
      <w:tblPr>
        <w:tblStyle w:val="TableTemplate1"/>
        <w:tblW w:w="5000" w:type="pct"/>
        <w:tblLook w:val="04A0" w:firstRow="1" w:lastRow="0" w:firstColumn="1" w:lastColumn="0" w:noHBand="0" w:noVBand="1"/>
      </w:tblPr>
      <w:tblGrid>
        <w:gridCol w:w="1021"/>
        <w:gridCol w:w="2514"/>
        <w:gridCol w:w="10403"/>
      </w:tblGrid>
      <w:tr w:rsidR="00773AE9" w:rsidRPr="00B56577" w14:paraId="3D7A0C51" w14:textId="77777777" w:rsidTr="0001554A">
        <w:trPr>
          <w:cnfStyle w:val="100000000000" w:firstRow="1" w:lastRow="0" w:firstColumn="0" w:lastColumn="0" w:oddVBand="0" w:evenVBand="0" w:oddHBand="0" w:evenHBand="0" w:firstRowFirstColumn="0" w:firstRowLastColumn="0" w:lastRowFirstColumn="0" w:lastRowLastColumn="0"/>
          <w:trHeight w:val="130"/>
        </w:trPr>
        <w:tc>
          <w:tcPr>
            <w:cnfStyle w:val="001000000000" w:firstRow="0" w:lastRow="0" w:firstColumn="1" w:lastColumn="0" w:oddVBand="0" w:evenVBand="0" w:oddHBand="0" w:evenHBand="0" w:firstRowFirstColumn="0" w:firstRowLastColumn="0" w:lastRowFirstColumn="0" w:lastRowLastColumn="0"/>
            <w:tcW w:w="366" w:type="pct"/>
            <w:vAlign w:val="top"/>
          </w:tcPr>
          <w:p w14:paraId="5DD4C7DB" w14:textId="536689FE" w:rsidR="00773AE9" w:rsidRPr="00B56577" w:rsidRDefault="00773AE9" w:rsidP="00773AE9">
            <w:pPr>
              <w:pStyle w:val="TableText-Left"/>
              <w:spacing w:line="276" w:lineRule="auto"/>
              <w:jc w:val="center"/>
              <w:rPr>
                <w:rFonts w:ascii="Lato" w:hAnsi="Lato"/>
              </w:rPr>
            </w:pPr>
            <w:r w:rsidRPr="00B56577">
              <w:rPr>
                <w:rFonts w:ascii="Lato" w:hAnsi="Lato"/>
              </w:rPr>
              <w:t>Numb</w:t>
            </w:r>
            <w:r>
              <w:rPr>
                <w:rFonts w:ascii="Lato" w:hAnsi="Lato"/>
              </w:rPr>
              <w:t>er</w:t>
            </w:r>
          </w:p>
        </w:tc>
        <w:tc>
          <w:tcPr>
            <w:tcW w:w="902" w:type="pct"/>
            <w:vAlign w:val="top"/>
          </w:tcPr>
          <w:p w14:paraId="4703F2BA" w14:textId="711DDB44" w:rsidR="00773AE9" w:rsidRPr="00B56577" w:rsidRDefault="00773AE9" w:rsidP="00773AE9">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3732" w:type="pct"/>
            <w:vAlign w:val="top"/>
          </w:tcPr>
          <w:p w14:paraId="7D839F0F" w14:textId="20470236" w:rsidR="00773AE9" w:rsidRPr="00B56577" w:rsidRDefault="00773AE9" w:rsidP="00773AE9">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773AE9" w:rsidRPr="00B56577" w14:paraId="181D936A" w14:textId="77777777" w:rsidTr="0001554A">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7C61D7A" w14:textId="21B8D577" w:rsidR="00773AE9" w:rsidRPr="00C61661" w:rsidRDefault="00773AE9" w:rsidP="00773AE9">
            <w:pPr>
              <w:pStyle w:val="TableText-Left"/>
              <w:spacing w:line="276" w:lineRule="auto"/>
              <w:jc w:val="center"/>
              <w:rPr>
                <w:rFonts w:ascii="Lato" w:hAnsi="Lato"/>
              </w:rPr>
            </w:pPr>
            <w:r w:rsidRPr="00C61661">
              <w:rPr>
                <w:rFonts w:ascii="Lato" w:hAnsi="Lato"/>
                <w:color w:val="auto"/>
              </w:rPr>
              <w:t>Q4</w:t>
            </w:r>
          </w:p>
        </w:tc>
        <w:tc>
          <w:tcPr>
            <w:tcW w:w="902" w:type="pct"/>
            <w:vAlign w:val="center"/>
          </w:tcPr>
          <w:p w14:paraId="26658F83" w14:textId="4AE20820" w:rsidR="00773AE9" w:rsidRPr="005B04E7" w:rsidRDefault="00773AE9" w:rsidP="00773AE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5B04E7">
              <w:rPr>
                <w:rFonts w:ascii="Lato" w:hAnsi="Lato"/>
              </w:rPr>
              <w:t>Do you agree that future DCC’s charges for the provision of mandated services should continue to be uniform across the country and across SMETS1 and SMETS2 meters?</w:t>
            </w:r>
          </w:p>
        </w:tc>
        <w:tc>
          <w:tcPr>
            <w:tcW w:w="3732" w:type="pct"/>
            <w:vAlign w:val="center"/>
          </w:tcPr>
          <w:p w14:paraId="51574744" w14:textId="255DE050" w:rsidR="00D129B8" w:rsidRDefault="00EB5783" w:rsidP="00773AE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This </w:t>
            </w:r>
            <w:r w:rsidR="00697D6D">
              <w:rPr>
                <w:rFonts w:ascii="Lato" w:hAnsi="Lato"/>
              </w:rPr>
              <w:t xml:space="preserve">question </w:t>
            </w:r>
            <w:proofErr w:type="gramStart"/>
            <w:r w:rsidR="00697D6D">
              <w:rPr>
                <w:rFonts w:ascii="Lato" w:hAnsi="Lato"/>
              </w:rPr>
              <w:t>opens up</w:t>
            </w:r>
            <w:proofErr w:type="gramEnd"/>
            <w:r w:rsidR="00697D6D">
              <w:rPr>
                <w:rFonts w:ascii="Lato" w:hAnsi="Lato"/>
              </w:rPr>
              <w:t xml:space="preserve"> the scope considerably. </w:t>
            </w:r>
            <w:r w:rsidR="007D12EE">
              <w:rPr>
                <w:rFonts w:ascii="Lato" w:hAnsi="Lato"/>
              </w:rPr>
              <w:t>We</w:t>
            </w:r>
            <w:r w:rsidR="00B57E36">
              <w:rPr>
                <w:rFonts w:ascii="Lato" w:hAnsi="Lato"/>
              </w:rPr>
              <w:t xml:space="preserve"> are unable to agree or not </w:t>
            </w:r>
            <w:r w:rsidR="0050770D">
              <w:rPr>
                <w:rFonts w:ascii="Lato" w:hAnsi="Lato"/>
              </w:rPr>
              <w:t>based on the current information in the RFI. We</w:t>
            </w:r>
            <w:r w:rsidR="007D12EE">
              <w:rPr>
                <w:rFonts w:ascii="Lato" w:hAnsi="Lato"/>
              </w:rPr>
              <w:t xml:space="preserve"> would be happy to comment if </w:t>
            </w:r>
            <w:r w:rsidR="00EB4E78">
              <w:rPr>
                <w:rFonts w:ascii="Lato" w:hAnsi="Lato"/>
              </w:rPr>
              <w:t>more information were provided as to how it might be achieved.</w:t>
            </w:r>
          </w:p>
          <w:p w14:paraId="2F0B73F7" w14:textId="6BC0750C" w:rsidR="00F7060B" w:rsidRDefault="00841094" w:rsidP="00773AE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Geographically, i</w:t>
            </w:r>
            <w:r w:rsidR="00E04314">
              <w:rPr>
                <w:rFonts w:ascii="Lato" w:hAnsi="Lato"/>
              </w:rPr>
              <w:t xml:space="preserve">t </w:t>
            </w:r>
            <w:r w:rsidR="00CB4178">
              <w:rPr>
                <w:rFonts w:ascii="Lato" w:hAnsi="Lato"/>
              </w:rPr>
              <w:t xml:space="preserve">presents many </w:t>
            </w:r>
            <w:r w:rsidR="00EB5783">
              <w:rPr>
                <w:rFonts w:ascii="Lato" w:hAnsi="Lato"/>
              </w:rPr>
              <w:t xml:space="preserve">considerations as to how </w:t>
            </w:r>
            <w:r w:rsidR="00F7060B">
              <w:rPr>
                <w:rFonts w:ascii="Lato" w:hAnsi="Lato"/>
              </w:rPr>
              <w:t>investment and performance might be taken forward.</w:t>
            </w:r>
          </w:p>
          <w:p w14:paraId="3428748D" w14:textId="1C3323CC" w:rsidR="00841094" w:rsidRDefault="004C0FCF" w:rsidP="00773AE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Similar considerations are necessary </w:t>
            </w:r>
            <w:r w:rsidR="00503594">
              <w:rPr>
                <w:rFonts w:ascii="Lato" w:hAnsi="Lato"/>
              </w:rPr>
              <w:t xml:space="preserve">for a split </w:t>
            </w:r>
            <w:r w:rsidR="00F84643">
              <w:rPr>
                <w:rFonts w:ascii="Lato" w:hAnsi="Lato"/>
              </w:rPr>
              <w:t xml:space="preserve">between </w:t>
            </w:r>
            <w:r w:rsidR="00D129B8">
              <w:rPr>
                <w:rFonts w:ascii="Lato" w:hAnsi="Lato"/>
              </w:rPr>
              <w:t>SMETS1 and 2</w:t>
            </w:r>
            <w:r w:rsidR="00C15703">
              <w:rPr>
                <w:rFonts w:ascii="Lato" w:hAnsi="Lato"/>
              </w:rPr>
              <w:t xml:space="preserve"> with the possibility that</w:t>
            </w:r>
            <w:r w:rsidR="00F3167F">
              <w:rPr>
                <w:rFonts w:ascii="Lato" w:hAnsi="Lato"/>
              </w:rPr>
              <w:t xml:space="preserve">, dependant on the </w:t>
            </w:r>
            <w:r w:rsidR="00BD3859">
              <w:rPr>
                <w:rFonts w:ascii="Lato" w:hAnsi="Lato"/>
              </w:rPr>
              <w:t xml:space="preserve">charging </w:t>
            </w:r>
            <w:r w:rsidR="00F3167F">
              <w:rPr>
                <w:rFonts w:ascii="Lato" w:hAnsi="Lato"/>
              </w:rPr>
              <w:t>structure, there may be benefits to keeping or removing SMETS1 meters</w:t>
            </w:r>
            <w:r w:rsidR="00AD034E">
              <w:rPr>
                <w:rFonts w:ascii="Lato" w:hAnsi="Lato"/>
              </w:rPr>
              <w:t xml:space="preserve"> that drive behaviours not in keeping with developing the smart meter system.</w:t>
            </w:r>
          </w:p>
          <w:p w14:paraId="213F654A" w14:textId="656CA5D7" w:rsidR="00773AE9" w:rsidRPr="00B56577" w:rsidRDefault="00773AE9" w:rsidP="00773AE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bl>
    <w:p w14:paraId="445F8E3A" w14:textId="77777777" w:rsidR="00F923FC" w:rsidRDefault="00F923FC"/>
    <w:p w14:paraId="1226E647" w14:textId="1B782C03" w:rsidR="00F923FC" w:rsidRPr="00F923FC" w:rsidRDefault="00F923FC" w:rsidP="00F923FC">
      <w:pPr>
        <w:pStyle w:val="Heading2"/>
        <w:keepNext w:val="0"/>
        <w:spacing w:before="220" w:after="220"/>
        <w:ind w:left="709" w:hanging="709"/>
        <w:rPr>
          <w:rFonts w:ascii="Lato" w:eastAsiaTheme="minorHAnsi" w:hAnsi="Lato" w:cstheme="minorBidi"/>
          <w:bCs w:val="0"/>
          <w:iCs w:val="0"/>
          <w:color w:val="CA005D"/>
          <w:szCs w:val="22"/>
        </w:rPr>
      </w:pPr>
      <w:r w:rsidRPr="00F923FC">
        <w:rPr>
          <w:rFonts w:ascii="Lato" w:eastAsiaTheme="minorHAnsi" w:hAnsi="Lato" w:cstheme="minorBidi"/>
          <w:bCs w:val="0"/>
          <w:iCs w:val="0"/>
          <w:color w:val="CA005D"/>
          <w:szCs w:val="22"/>
        </w:rPr>
        <w:t>Questions on the charging basis</w:t>
      </w:r>
    </w:p>
    <w:tbl>
      <w:tblPr>
        <w:tblStyle w:val="TableTemplate1"/>
        <w:tblW w:w="5000" w:type="pct"/>
        <w:tblLook w:val="04A0" w:firstRow="1" w:lastRow="0" w:firstColumn="1" w:lastColumn="0" w:noHBand="0" w:noVBand="1"/>
      </w:tblPr>
      <w:tblGrid>
        <w:gridCol w:w="1020"/>
        <w:gridCol w:w="2088"/>
        <w:gridCol w:w="10830"/>
      </w:tblGrid>
      <w:tr w:rsidR="00F923FC" w:rsidRPr="00B56577" w14:paraId="2C3F978A" w14:textId="77777777" w:rsidTr="009C5EC4">
        <w:trPr>
          <w:cnfStyle w:val="100000000000" w:firstRow="1" w:lastRow="0" w:firstColumn="0" w:lastColumn="0" w:oddVBand="0" w:evenVBand="0" w:oddHBand="0" w:evenHBand="0" w:firstRowFirstColumn="0" w:firstRowLastColumn="0" w:lastRowFirstColumn="0" w:lastRowLastColumn="0"/>
          <w:trHeight w:val="191"/>
        </w:trPr>
        <w:tc>
          <w:tcPr>
            <w:cnfStyle w:val="001000000000" w:firstRow="0" w:lastRow="0" w:firstColumn="1" w:lastColumn="0" w:oddVBand="0" w:evenVBand="0" w:oddHBand="0" w:evenHBand="0" w:firstRowFirstColumn="0" w:firstRowLastColumn="0" w:lastRowFirstColumn="0" w:lastRowLastColumn="0"/>
            <w:tcW w:w="366" w:type="pct"/>
            <w:vAlign w:val="top"/>
          </w:tcPr>
          <w:p w14:paraId="62AA9916" w14:textId="32E55E5F" w:rsidR="00F923FC" w:rsidRPr="00B56577" w:rsidRDefault="00F923FC" w:rsidP="00F923FC">
            <w:pPr>
              <w:pStyle w:val="TableText-Left"/>
              <w:spacing w:line="276" w:lineRule="auto"/>
              <w:jc w:val="center"/>
              <w:rPr>
                <w:rFonts w:ascii="Lato" w:hAnsi="Lato"/>
                <w:color w:val="auto"/>
              </w:rPr>
            </w:pPr>
            <w:r w:rsidRPr="00B56577">
              <w:rPr>
                <w:rFonts w:ascii="Lato" w:hAnsi="Lato"/>
              </w:rPr>
              <w:lastRenderedPageBreak/>
              <w:t>Numb</w:t>
            </w:r>
            <w:r>
              <w:rPr>
                <w:rFonts w:ascii="Lato" w:hAnsi="Lato"/>
              </w:rPr>
              <w:t>er</w:t>
            </w:r>
          </w:p>
        </w:tc>
        <w:tc>
          <w:tcPr>
            <w:tcW w:w="749" w:type="pct"/>
            <w:vAlign w:val="top"/>
          </w:tcPr>
          <w:p w14:paraId="45BFBEA7" w14:textId="6602EDC4" w:rsidR="00F923FC" w:rsidRPr="00B56577" w:rsidRDefault="00F923FC" w:rsidP="00F923FC">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3885" w:type="pct"/>
            <w:vAlign w:val="top"/>
          </w:tcPr>
          <w:p w14:paraId="6801E874" w14:textId="52B5BAF1" w:rsidR="00F923FC" w:rsidRPr="00B56577" w:rsidRDefault="00F923FC" w:rsidP="00F923FC">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F923FC" w:rsidRPr="00B56577" w14:paraId="0ABFB89B" w14:textId="77777777" w:rsidTr="009C5EC4">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42157AC0" w14:textId="735619F3" w:rsidR="00F923FC" w:rsidRPr="00B56577" w:rsidRDefault="00F923FC" w:rsidP="00F923FC">
            <w:pPr>
              <w:pStyle w:val="TableText-Left"/>
              <w:spacing w:line="276" w:lineRule="auto"/>
              <w:jc w:val="center"/>
              <w:rPr>
                <w:rFonts w:ascii="Lato" w:hAnsi="Lato"/>
              </w:rPr>
            </w:pPr>
            <w:r w:rsidRPr="00B56577">
              <w:rPr>
                <w:rFonts w:ascii="Lato" w:hAnsi="Lato"/>
                <w:color w:val="auto"/>
              </w:rPr>
              <w:t>Q</w:t>
            </w:r>
            <w:r>
              <w:rPr>
                <w:rFonts w:ascii="Lato" w:hAnsi="Lato"/>
                <w:color w:val="auto"/>
              </w:rPr>
              <w:t>5</w:t>
            </w:r>
          </w:p>
        </w:tc>
        <w:tc>
          <w:tcPr>
            <w:tcW w:w="749" w:type="pct"/>
            <w:vAlign w:val="center"/>
          </w:tcPr>
          <w:p w14:paraId="4D12EF6A" w14:textId="492E79B6" w:rsidR="00F923FC" w:rsidRPr="00DB40FD" w:rsidRDefault="00F923FC" w:rsidP="00F923F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DB40FD">
              <w:rPr>
                <w:rFonts w:ascii="Lato" w:hAnsi="Lato"/>
              </w:rPr>
              <w:t>In your view, what would be a suitable metric to set charges for different User Categories (e.g. Energy Suppliers, Network Operators, Other SEC Parties)?</w:t>
            </w:r>
          </w:p>
        </w:tc>
        <w:tc>
          <w:tcPr>
            <w:tcW w:w="3885" w:type="pct"/>
            <w:vAlign w:val="center"/>
          </w:tcPr>
          <w:p w14:paraId="58DB038E" w14:textId="46265A4D" w:rsidR="00F860CB" w:rsidRDefault="00DE07AE" w:rsidP="00F923F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Any charging structure would need to reflect </w:t>
            </w:r>
            <w:r w:rsidR="00A35358">
              <w:rPr>
                <w:rFonts w:ascii="Lato" w:hAnsi="Lato"/>
              </w:rPr>
              <w:t xml:space="preserve">an organisations </w:t>
            </w:r>
            <w:r w:rsidR="00F860CB">
              <w:rPr>
                <w:rFonts w:ascii="Lato" w:hAnsi="Lato"/>
              </w:rPr>
              <w:t xml:space="preserve">overall </w:t>
            </w:r>
            <w:r w:rsidR="00A35358">
              <w:rPr>
                <w:rFonts w:ascii="Lato" w:hAnsi="Lato"/>
              </w:rPr>
              <w:t xml:space="preserve">use of </w:t>
            </w:r>
            <w:r w:rsidR="00F860CB">
              <w:rPr>
                <w:rFonts w:ascii="Lato" w:hAnsi="Lato"/>
              </w:rPr>
              <w:t>the</w:t>
            </w:r>
            <w:r w:rsidR="00A35358">
              <w:rPr>
                <w:rFonts w:ascii="Lato" w:hAnsi="Lato"/>
              </w:rPr>
              <w:t xml:space="preserve"> system. </w:t>
            </w:r>
            <w:r w:rsidR="00FB3BE5">
              <w:rPr>
                <w:rFonts w:ascii="Lato" w:hAnsi="Lato"/>
              </w:rPr>
              <w:t xml:space="preserve">Organisations that have more than one User </w:t>
            </w:r>
            <w:r w:rsidR="0027086B">
              <w:rPr>
                <w:rFonts w:ascii="Lato" w:hAnsi="Lato"/>
              </w:rPr>
              <w:t>Category</w:t>
            </w:r>
            <w:r w:rsidR="00FB3BE5">
              <w:rPr>
                <w:rFonts w:ascii="Lato" w:hAnsi="Lato"/>
              </w:rPr>
              <w:t xml:space="preserve"> </w:t>
            </w:r>
            <w:r w:rsidR="006453EA">
              <w:rPr>
                <w:rFonts w:ascii="Lato" w:hAnsi="Lato"/>
              </w:rPr>
              <w:t xml:space="preserve">would use the </w:t>
            </w:r>
            <w:r w:rsidR="0027086B">
              <w:rPr>
                <w:rFonts w:ascii="Lato" w:hAnsi="Lato"/>
              </w:rPr>
              <w:t>Category</w:t>
            </w:r>
            <w:r w:rsidR="006453EA">
              <w:rPr>
                <w:rFonts w:ascii="Lato" w:hAnsi="Lato"/>
              </w:rPr>
              <w:t xml:space="preserve"> that </w:t>
            </w:r>
            <w:r w:rsidR="00F860CB">
              <w:rPr>
                <w:rFonts w:ascii="Lato" w:hAnsi="Lato"/>
              </w:rPr>
              <w:t>ben</w:t>
            </w:r>
            <w:r w:rsidR="004C3282">
              <w:rPr>
                <w:rFonts w:ascii="Lato" w:hAnsi="Lato"/>
              </w:rPr>
              <w:t>e</w:t>
            </w:r>
            <w:r w:rsidR="00F860CB">
              <w:rPr>
                <w:rFonts w:ascii="Lato" w:hAnsi="Lato"/>
              </w:rPr>
              <w:t>fitted them most</w:t>
            </w:r>
            <w:r w:rsidR="004C3282">
              <w:rPr>
                <w:rFonts w:ascii="Lato" w:hAnsi="Lato"/>
              </w:rPr>
              <w:t>, possibly to the detriment of others who did no</w:t>
            </w:r>
            <w:r w:rsidR="0053068F">
              <w:rPr>
                <w:rFonts w:ascii="Lato" w:hAnsi="Lato"/>
              </w:rPr>
              <w:t>t</w:t>
            </w:r>
            <w:r w:rsidR="00F860CB">
              <w:rPr>
                <w:rFonts w:ascii="Lato" w:hAnsi="Lato"/>
              </w:rPr>
              <w:t xml:space="preserve">. </w:t>
            </w:r>
          </w:p>
          <w:p w14:paraId="68FD7AF5" w14:textId="464AEA31" w:rsidR="00B9180E" w:rsidRDefault="009947BB" w:rsidP="00B9180E">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A </w:t>
            </w:r>
            <w:r w:rsidR="00B9180E">
              <w:rPr>
                <w:rFonts w:ascii="Lato" w:hAnsi="Lato"/>
              </w:rPr>
              <w:t xml:space="preserve">current split </w:t>
            </w:r>
            <w:r>
              <w:rPr>
                <w:rFonts w:ascii="Lato" w:hAnsi="Lato"/>
              </w:rPr>
              <w:t xml:space="preserve">along the lines of </w:t>
            </w:r>
            <w:r w:rsidR="00B9180E">
              <w:rPr>
                <w:rFonts w:ascii="Lato" w:hAnsi="Lato"/>
              </w:rPr>
              <w:t xml:space="preserve">User Categories </w:t>
            </w:r>
            <w:r w:rsidR="00EA031F">
              <w:rPr>
                <w:rFonts w:ascii="Lato" w:hAnsi="Lato"/>
              </w:rPr>
              <w:t>will be a significant element of some of the options put forward</w:t>
            </w:r>
            <w:r w:rsidR="006B11D9">
              <w:rPr>
                <w:rFonts w:ascii="Lato" w:hAnsi="Lato"/>
              </w:rPr>
              <w:t xml:space="preserve"> but less in others.</w:t>
            </w:r>
          </w:p>
          <w:p w14:paraId="1F590152" w14:textId="1A813BB1" w:rsidR="00F72BD4" w:rsidRDefault="00C04C4D" w:rsidP="00B9180E">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The benefits derived from the use of smart meter</w:t>
            </w:r>
            <w:r w:rsidR="00B22E9E">
              <w:rPr>
                <w:rFonts w:ascii="Lato" w:hAnsi="Lato"/>
              </w:rPr>
              <w:t xml:space="preserve"> communications may be similar for </w:t>
            </w:r>
            <w:r w:rsidR="00F72BD4" w:rsidRPr="00DB40FD">
              <w:rPr>
                <w:rFonts w:ascii="Lato" w:hAnsi="Lato"/>
              </w:rPr>
              <w:t>Energy Suppliers</w:t>
            </w:r>
            <w:r w:rsidR="007C3C92">
              <w:rPr>
                <w:rFonts w:ascii="Lato" w:hAnsi="Lato"/>
              </w:rPr>
              <w:t xml:space="preserve"> and similar for </w:t>
            </w:r>
            <w:r w:rsidR="00F72BD4" w:rsidRPr="00DB40FD">
              <w:rPr>
                <w:rFonts w:ascii="Lato" w:hAnsi="Lato"/>
              </w:rPr>
              <w:t>Network Operators</w:t>
            </w:r>
            <w:r w:rsidR="007C3C92">
              <w:rPr>
                <w:rFonts w:ascii="Lato" w:hAnsi="Lato"/>
              </w:rPr>
              <w:t xml:space="preserve"> and the</w:t>
            </w:r>
            <w:r w:rsidR="0061754D">
              <w:rPr>
                <w:rFonts w:ascii="Lato" w:hAnsi="Lato"/>
              </w:rPr>
              <w:t>y have Regulatory obligations to maintain a</w:t>
            </w:r>
            <w:r w:rsidR="00F3098A">
              <w:rPr>
                <w:rFonts w:ascii="Lato" w:hAnsi="Lato"/>
              </w:rPr>
              <w:t xml:space="preserve"> </w:t>
            </w:r>
            <w:r w:rsidR="0061754D">
              <w:rPr>
                <w:rFonts w:ascii="Lato" w:hAnsi="Lato"/>
              </w:rPr>
              <w:t>connection.</w:t>
            </w:r>
            <w:r w:rsidR="00F3098A">
              <w:rPr>
                <w:rFonts w:ascii="Lato" w:hAnsi="Lato"/>
              </w:rPr>
              <w:t xml:space="preserve"> </w:t>
            </w:r>
            <w:r w:rsidR="007C3C92">
              <w:rPr>
                <w:rFonts w:ascii="Lato" w:hAnsi="Lato"/>
              </w:rPr>
              <w:t>Other SEC</w:t>
            </w:r>
            <w:r w:rsidR="0061754D">
              <w:rPr>
                <w:rFonts w:ascii="Lato" w:hAnsi="Lato"/>
              </w:rPr>
              <w:t xml:space="preserve"> parties have more </w:t>
            </w:r>
            <w:r w:rsidR="00F3098A">
              <w:rPr>
                <w:rFonts w:ascii="Lato" w:hAnsi="Lato"/>
              </w:rPr>
              <w:t>discretion</w:t>
            </w:r>
            <w:r w:rsidR="0061754D">
              <w:rPr>
                <w:rFonts w:ascii="Lato" w:hAnsi="Lato"/>
              </w:rPr>
              <w:t>.</w:t>
            </w:r>
          </w:p>
          <w:p w14:paraId="47F6C0B5" w14:textId="0579B785" w:rsidR="00AC578D" w:rsidRPr="001A5074" w:rsidRDefault="00FD6D55" w:rsidP="00AC578D">
            <w:pPr>
              <w:autoSpaceDE w:val="0"/>
              <w:autoSpaceDN w:val="0"/>
              <w:adjustRightInd w:val="0"/>
              <w:spacing w:before="0" w:after="0"/>
              <w:cnfStyle w:val="000000000000" w:firstRow="0" w:lastRow="0" w:firstColumn="0" w:lastColumn="0" w:oddVBand="0" w:evenVBand="0" w:oddHBand="0" w:evenHBand="0" w:firstRowFirstColumn="0" w:firstRowLastColumn="0" w:lastRowFirstColumn="0" w:lastRowLastColumn="0"/>
              <w:rPr>
                <w:rFonts w:ascii="Lato" w:eastAsia="Times New Roman" w:hAnsi="Lato"/>
              </w:rPr>
            </w:pPr>
            <w:r w:rsidRPr="001A5074">
              <w:rPr>
                <w:rFonts w:ascii="Lato" w:eastAsia="Times New Roman" w:hAnsi="Lato"/>
              </w:rPr>
              <w:t xml:space="preserve">This consultation </w:t>
            </w:r>
            <w:r w:rsidR="00D22DF3" w:rsidRPr="001A5074">
              <w:rPr>
                <w:rFonts w:ascii="Lato" w:eastAsia="Times New Roman" w:hAnsi="Lato"/>
              </w:rPr>
              <w:t xml:space="preserve">assumes that those using </w:t>
            </w:r>
            <w:r w:rsidR="00D22DF3" w:rsidRPr="00031009">
              <w:rPr>
                <w:rFonts w:ascii="Lato" w:eastAsia="Times New Roman" w:hAnsi="Lato"/>
              </w:rPr>
              <w:t xml:space="preserve">the system </w:t>
            </w:r>
            <w:r w:rsidR="00001BED" w:rsidRPr="00031009">
              <w:rPr>
                <w:rFonts w:ascii="Lato" w:eastAsia="Times New Roman" w:hAnsi="Lato"/>
              </w:rPr>
              <w:t xml:space="preserve">can make decisions based on </w:t>
            </w:r>
            <w:r w:rsidR="00940216" w:rsidRPr="00031009">
              <w:rPr>
                <w:rFonts w:ascii="Lato" w:eastAsia="Times New Roman" w:hAnsi="Lato"/>
              </w:rPr>
              <w:t xml:space="preserve">connected customers and </w:t>
            </w:r>
            <w:r w:rsidR="001A5074" w:rsidRPr="00031009">
              <w:rPr>
                <w:rFonts w:ascii="Lato" w:eastAsia="Times New Roman" w:hAnsi="Lato"/>
              </w:rPr>
              <w:t xml:space="preserve">predicted </w:t>
            </w:r>
            <w:r w:rsidR="00940216" w:rsidRPr="00031009">
              <w:rPr>
                <w:rFonts w:ascii="Lato" w:eastAsia="Times New Roman" w:hAnsi="Lato"/>
              </w:rPr>
              <w:t>usage</w:t>
            </w:r>
            <w:r w:rsidR="00E90417" w:rsidRPr="00031009">
              <w:rPr>
                <w:rFonts w:ascii="Lato" w:eastAsia="Times New Roman" w:hAnsi="Lato"/>
              </w:rPr>
              <w:t xml:space="preserve"> and set metrics</w:t>
            </w:r>
            <w:r w:rsidR="00940216" w:rsidRPr="00031009">
              <w:rPr>
                <w:rFonts w:ascii="Lato" w:eastAsia="Times New Roman" w:hAnsi="Lato"/>
              </w:rPr>
              <w:t>. This is true to a point. From the Government</w:t>
            </w:r>
            <w:r w:rsidR="00847B0A" w:rsidRPr="00031009">
              <w:rPr>
                <w:rFonts w:ascii="Lato" w:eastAsia="Times New Roman" w:hAnsi="Lato"/>
              </w:rPr>
              <w:t>’</w:t>
            </w:r>
            <w:r w:rsidR="00940216" w:rsidRPr="00031009">
              <w:rPr>
                <w:rFonts w:ascii="Lato" w:eastAsia="Times New Roman" w:hAnsi="Lato"/>
              </w:rPr>
              <w:t xml:space="preserve">s </w:t>
            </w:r>
            <w:r w:rsidR="00AC578D" w:rsidRPr="00031009">
              <w:rPr>
                <w:rFonts w:ascii="Lato" w:eastAsia="Times New Roman" w:hAnsi="Lato"/>
              </w:rPr>
              <w:t xml:space="preserve">Cost Benefit Analysis, Consumer savings (39%) and air quality </w:t>
            </w:r>
            <w:r w:rsidR="00AC19BB" w:rsidRPr="00031009">
              <w:rPr>
                <w:rFonts w:ascii="Lato" w:eastAsia="Times New Roman" w:hAnsi="Lato"/>
              </w:rPr>
              <w:t xml:space="preserve">savings </w:t>
            </w:r>
            <w:r w:rsidR="00AC578D" w:rsidRPr="00031009">
              <w:rPr>
                <w:rFonts w:ascii="Lato" w:eastAsia="Times New Roman" w:hAnsi="Lato"/>
              </w:rPr>
              <w:t>(10%) make up 49% of the benefits for the smart meter case.</w:t>
            </w:r>
            <w:r w:rsidR="00AC19BB" w:rsidRPr="00031009">
              <w:rPr>
                <w:rFonts w:ascii="Lato" w:eastAsia="Times New Roman" w:hAnsi="Lato"/>
              </w:rPr>
              <w:t xml:space="preserve"> </w:t>
            </w:r>
            <w:r w:rsidR="00314E3D" w:rsidRPr="00031009">
              <w:rPr>
                <w:rFonts w:ascii="Lato" w:eastAsia="Times New Roman" w:hAnsi="Lato"/>
              </w:rPr>
              <w:t xml:space="preserve">At present, </w:t>
            </w:r>
            <w:r w:rsidR="00CE6E5D" w:rsidRPr="00031009">
              <w:rPr>
                <w:rFonts w:ascii="Lato" w:eastAsia="Times New Roman" w:hAnsi="Lato"/>
              </w:rPr>
              <w:t>most costs are recovered and passed through to customers</w:t>
            </w:r>
            <w:r w:rsidR="0005452F" w:rsidRPr="00031009">
              <w:rPr>
                <w:rFonts w:ascii="Lato" w:eastAsia="Times New Roman" w:hAnsi="Lato"/>
              </w:rPr>
              <w:t xml:space="preserve"> via a Regulatory mechanism</w:t>
            </w:r>
            <w:r w:rsidR="00AA2381" w:rsidRPr="00031009">
              <w:rPr>
                <w:rFonts w:ascii="Lato" w:eastAsia="Times New Roman" w:hAnsi="Lato"/>
              </w:rPr>
              <w:t>, providing a level of stability and predictability for those parties</w:t>
            </w:r>
            <w:r w:rsidR="0005452F" w:rsidRPr="00031009">
              <w:rPr>
                <w:rFonts w:ascii="Lato" w:eastAsia="Times New Roman" w:hAnsi="Lato"/>
              </w:rPr>
              <w:t xml:space="preserve">. </w:t>
            </w:r>
            <w:r w:rsidR="00D2703B" w:rsidRPr="00031009">
              <w:rPr>
                <w:rFonts w:ascii="Lato" w:eastAsia="Times New Roman" w:hAnsi="Lato"/>
              </w:rPr>
              <w:t>I</w:t>
            </w:r>
            <w:r w:rsidR="00663013" w:rsidRPr="00031009">
              <w:rPr>
                <w:rFonts w:ascii="Lato" w:eastAsia="Times New Roman" w:hAnsi="Lato"/>
              </w:rPr>
              <w:t>f the</w:t>
            </w:r>
            <w:r w:rsidR="000E776A" w:rsidRPr="00031009">
              <w:rPr>
                <w:rFonts w:ascii="Lato" w:eastAsia="Times New Roman" w:hAnsi="Lato"/>
              </w:rPr>
              <w:t xml:space="preserve"> charging mechanism is to be reviewed, then </w:t>
            </w:r>
            <w:r w:rsidR="00314E3D" w:rsidRPr="00031009">
              <w:rPr>
                <w:rFonts w:ascii="Lato" w:eastAsia="Times New Roman" w:hAnsi="Lato"/>
              </w:rPr>
              <w:t xml:space="preserve">how the system is funded </w:t>
            </w:r>
            <w:r w:rsidR="00D2703B" w:rsidRPr="00031009">
              <w:rPr>
                <w:rFonts w:ascii="Lato" w:eastAsia="Times New Roman" w:hAnsi="Lato"/>
              </w:rPr>
              <w:t xml:space="preserve">longer </w:t>
            </w:r>
            <w:r w:rsidR="00314E3D" w:rsidRPr="00031009">
              <w:rPr>
                <w:rFonts w:ascii="Lato" w:eastAsia="Times New Roman" w:hAnsi="Lato"/>
              </w:rPr>
              <w:t xml:space="preserve">term </w:t>
            </w:r>
            <w:r w:rsidR="0049558D" w:rsidRPr="00031009">
              <w:rPr>
                <w:rFonts w:ascii="Lato" w:eastAsia="Times New Roman" w:hAnsi="Lato"/>
              </w:rPr>
              <w:t xml:space="preserve">also </w:t>
            </w:r>
            <w:r w:rsidR="00314E3D" w:rsidRPr="00031009">
              <w:rPr>
                <w:rFonts w:ascii="Lato" w:eastAsia="Times New Roman" w:hAnsi="Lato"/>
              </w:rPr>
              <w:t xml:space="preserve">needs to </w:t>
            </w:r>
            <w:r w:rsidR="000E776A" w:rsidRPr="00031009">
              <w:rPr>
                <w:rFonts w:ascii="Lato" w:eastAsia="Times New Roman" w:hAnsi="Lato"/>
              </w:rPr>
              <w:t xml:space="preserve">be discussed </w:t>
            </w:r>
            <w:r w:rsidR="00EA1D20" w:rsidRPr="00031009">
              <w:rPr>
                <w:rFonts w:ascii="Lato" w:eastAsia="Times New Roman" w:hAnsi="Lato"/>
              </w:rPr>
              <w:t xml:space="preserve">so that there is </w:t>
            </w:r>
            <w:proofErr w:type="gramStart"/>
            <w:r w:rsidR="00EA1D20" w:rsidRPr="00031009">
              <w:rPr>
                <w:rFonts w:ascii="Lato" w:eastAsia="Times New Roman" w:hAnsi="Lato"/>
              </w:rPr>
              <w:t>clarity</w:t>
            </w:r>
            <w:proofErr w:type="gramEnd"/>
            <w:r w:rsidR="0049558D" w:rsidRPr="00031009">
              <w:rPr>
                <w:rFonts w:ascii="Lato" w:eastAsia="Times New Roman" w:hAnsi="Lato"/>
              </w:rPr>
              <w:t xml:space="preserve"> and each party understand</w:t>
            </w:r>
            <w:r w:rsidR="00085A95" w:rsidRPr="00031009">
              <w:rPr>
                <w:rFonts w:ascii="Lato" w:eastAsia="Times New Roman" w:hAnsi="Lato"/>
              </w:rPr>
              <w:t>s the risks</w:t>
            </w:r>
            <w:r w:rsidR="001A5074" w:rsidRPr="00031009">
              <w:rPr>
                <w:rFonts w:ascii="Lato" w:eastAsia="Times New Roman" w:hAnsi="Lato"/>
              </w:rPr>
              <w:t>.</w:t>
            </w:r>
            <w:r w:rsidR="0050770D" w:rsidRPr="00031009">
              <w:rPr>
                <w:rFonts w:ascii="Lato" w:eastAsia="Times New Roman" w:hAnsi="Lato"/>
              </w:rPr>
              <w:t xml:space="preserve"> Refer to our responses to Q1 and Q2</w:t>
            </w:r>
            <w:r w:rsidR="00CA1493" w:rsidRPr="00031009">
              <w:rPr>
                <w:rFonts w:ascii="Lato" w:eastAsia="Times New Roman" w:hAnsi="Lato"/>
              </w:rPr>
              <w:t xml:space="preserve"> regarding the governance approach to the changes being proposed.</w:t>
            </w:r>
          </w:p>
          <w:p w14:paraId="6A77A347" w14:textId="672D5777" w:rsidR="00F923FC" w:rsidRPr="00B56577" w:rsidRDefault="00DE07AE" w:rsidP="00F923F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 </w:t>
            </w:r>
          </w:p>
        </w:tc>
      </w:tr>
      <w:tr w:rsidR="00F923FC" w:rsidRPr="00B56577" w14:paraId="4C5BC2ED" w14:textId="77777777" w:rsidTr="009C5EC4">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5249EED" w14:textId="6CB02A42" w:rsidR="00F923FC" w:rsidRPr="00B56577" w:rsidRDefault="00F923FC" w:rsidP="00F923FC">
            <w:pPr>
              <w:pStyle w:val="TableText-Left"/>
              <w:spacing w:line="276" w:lineRule="auto"/>
              <w:jc w:val="center"/>
              <w:rPr>
                <w:rFonts w:ascii="Lato" w:hAnsi="Lato"/>
                <w:color w:val="auto"/>
              </w:rPr>
            </w:pPr>
            <w:r w:rsidRPr="00B56577">
              <w:rPr>
                <w:rFonts w:ascii="Lato" w:hAnsi="Lato"/>
                <w:color w:val="auto"/>
              </w:rPr>
              <w:lastRenderedPageBreak/>
              <w:t>Q</w:t>
            </w:r>
            <w:r>
              <w:rPr>
                <w:rFonts w:ascii="Lato" w:hAnsi="Lato"/>
                <w:color w:val="auto"/>
              </w:rPr>
              <w:t>6</w:t>
            </w:r>
          </w:p>
        </w:tc>
        <w:tc>
          <w:tcPr>
            <w:tcW w:w="749" w:type="pct"/>
            <w:vAlign w:val="center"/>
          </w:tcPr>
          <w:p w14:paraId="38F1AEF5" w14:textId="2CC4500C" w:rsidR="00F923FC" w:rsidRPr="00B56577" w:rsidRDefault="00F923FC" w:rsidP="00F923F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AD4132">
              <w:rPr>
                <w:rFonts w:ascii="Lato" w:hAnsi="Lato"/>
              </w:rPr>
              <w:t>Do you identify any risks or barriers in respect of the potential changes in DCC’s monitoring capabilities that might be required to set the basis on which Users are charged?</w:t>
            </w:r>
          </w:p>
        </w:tc>
        <w:tc>
          <w:tcPr>
            <w:tcW w:w="3885" w:type="pct"/>
            <w:vAlign w:val="center"/>
          </w:tcPr>
          <w:p w14:paraId="030B461C" w14:textId="2FE973F4" w:rsidR="00F923FC" w:rsidRDefault="00F21648" w:rsidP="00F923F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It is to be expected that there will be some and the extent of these </w:t>
            </w:r>
            <w:r w:rsidR="00AA22BD">
              <w:rPr>
                <w:rFonts w:ascii="Lato" w:hAnsi="Lato"/>
              </w:rPr>
              <w:t xml:space="preserve">is </w:t>
            </w:r>
            <w:r w:rsidR="008B5285">
              <w:rPr>
                <w:rFonts w:ascii="Lato" w:hAnsi="Lato"/>
              </w:rPr>
              <w:t>dependent</w:t>
            </w:r>
            <w:r w:rsidR="00AA22BD">
              <w:rPr>
                <w:rFonts w:ascii="Lato" w:hAnsi="Lato"/>
              </w:rPr>
              <w:t xml:space="preserve"> on each option considered.</w:t>
            </w:r>
          </w:p>
          <w:p w14:paraId="2AD1C412" w14:textId="0A2132F5" w:rsidR="00722064" w:rsidRPr="00B56577" w:rsidRDefault="00722064" w:rsidP="00F923F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bl>
    <w:p w14:paraId="6A71EEA8" w14:textId="77777777" w:rsidR="00F923FC" w:rsidRDefault="00F923FC"/>
    <w:p w14:paraId="614B2ED1" w14:textId="0803A3C8" w:rsidR="00F923FC" w:rsidRPr="00EB5957" w:rsidRDefault="00EB5957" w:rsidP="00EB5957">
      <w:pPr>
        <w:pStyle w:val="Heading2"/>
        <w:spacing w:before="220" w:after="220"/>
        <w:ind w:left="709" w:hanging="709"/>
        <w:rPr>
          <w:rFonts w:ascii="Lato" w:eastAsiaTheme="minorHAnsi" w:hAnsi="Lato" w:cstheme="minorBidi"/>
          <w:bCs w:val="0"/>
          <w:iCs w:val="0"/>
          <w:color w:val="CA005D"/>
          <w:szCs w:val="22"/>
        </w:rPr>
      </w:pPr>
      <w:r w:rsidRPr="00EB5957">
        <w:rPr>
          <w:rFonts w:ascii="Lato" w:eastAsiaTheme="minorHAnsi" w:hAnsi="Lato" w:cstheme="minorBidi"/>
          <w:bCs w:val="0"/>
          <w:iCs w:val="0"/>
          <w:color w:val="CA005D"/>
          <w:szCs w:val="22"/>
        </w:rPr>
        <w:t>Questions on data capture requirements on future demand</w:t>
      </w:r>
    </w:p>
    <w:tbl>
      <w:tblPr>
        <w:tblStyle w:val="TableTemplate1"/>
        <w:tblW w:w="5000" w:type="pct"/>
        <w:tblLook w:val="04A0" w:firstRow="1" w:lastRow="0" w:firstColumn="1" w:lastColumn="0" w:noHBand="0" w:noVBand="1"/>
      </w:tblPr>
      <w:tblGrid>
        <w:gridCol w:w="1020"/>
        <w:gridCol w:w="1946"/>
        <w:gridCol w:w="10972"/>
      </w:tblGrid>
      <w:tr w:rsidR="00EB5957" w:rsidRPr="00B56577" w14:paraId="7ADA4082" w14:textId="77777777" w:rsidTr="00F61A8A">
        <w:trPr>
          <w:cnfStyle w:val="100000000000" w:firstRow="1" w:lastRow="0" w:firstColumn="0" w:lastColumn="0" w:oddVBand="0" w:evenVBand="0" w:oddHBand="0" w:evenHBand="0" w:firstRowFirstColumn="0" w:firstRowLastColumn="0" w:lastRowFirstColumn="0" w:lastRowLastColumn="0"/>
          <w:trHeight w:val="58"/>
        </w:trPr>
        <w:tc>
          <w:tcPr>
            <w:cnfStyle w:val="001000000000" w:firstRow="0" w:lastRow="0" w:firstColumn="1" w:lastColumn="0" w:oddVBand="0" w:evenVBand="0" w:oddHBand="0" w:evenHBand="0" w:firstRowFirstColumn="0" w:firstRowLastColumn="0" w:lastRowFirstColumn="0" w:lastRowLastColumn="0"/>
            <w:tcW w:w="366" w:type="pct"/>
            <w:vAlign w:val="top"/>
          </w:tcPr>
          <w:p w14:paraId="65D70091" w14:textId="2D2D4CE2" w:rsidR="00EB5957" w:rsidRPr="00B56577" w:rsidRDefault="00EB5957" w:rsidP="00EB5957">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698" w:type="pct"/>
            <w:vAlign w:val="top"/>
          </w:tcPr>
          <w:p w14:paraId="043DABD2" w14:textId="04B2FC40" w:rsidR="00EB5957" w:rsidRPr="00B56577" w:rsidRDefault="00EB5957" w:rsidP="00EB5957">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3936" w:type="pct"/>
            <w:vAlign w:val="top"/>
          </w:tcPr>
          <w:p w14:paraId="4CF55567" w14:textId="17590BB2" w:rsidR="00EB5957" w:rsidRPr="00B56577" w:rsidRDefault="00EB5957" w:rsidP="00EB5957">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EB5957" w:rsidRPr="00B56577" w14:paraId="19CD45BB" w14:textId="77777777" w:rsidTr="00F61A8A">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B1ED935" w14:textId="3A04A239" w:rsidR="00EB5957" w:rsidRPr="00B56577" w:rsidRDefault="00EB5957" w:rsidP="00EB5957">
            <w:pPr>
              <w:pStyle w:val="TableText-Left"/>
              <w:spacing w:line="276" w:lineRule="auto"/>
              <w:jc w:val="center"/>
              <w:rPr>
                <w:rFonts w:ascii="Lato" w:hAnsi="Lato"/>
              </w:rPr>
            </w:pPr>
            <w:r w:rsidRPr="00B56577">
              <w:rPr>
                <w:rFonts w:ascii="Lato" w:hAnsi="Lato"/>
                <w:color w:val="auto"/>
              </w:rPr>
              <w:t>Q</w:t>
            </w:r>
            <w:r>
              <w:rPr>
                <w:rFonts w:ascii="Lato" w:hAnsi="Lato"/>
                <w:color w:val="auto"/>
              </w:rPr>
              <w:t>7</w:t>
            </w:r>
          </w:p>
        </w:tc>
        <w:tc>
          <w:tcPr>
            <w:tcW w:w="698" w:type="pct"/>
            <w:vAlign w:val="center"/>
          </w:tcPr>
          <w:p w14:paraId="097F9262" w14:textId="5ED0358E" w:rsidR="00EB5957" w:rsidRPr="00B34FD4" w:rsidRDefault="00EB5957" w:rsidP="00EB595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34FD4">
              <w:rPr>
                <w:rFonts w:ascii="Lato" w:hAnsi="Lato"/>
              </w:rPr>
              <w:t>Do you have views on the process through which DCC should collect information on future demand across DCC Users?</w:t>
            </w:r>
          </w:p>
        </w:tc>
        <w:tc>
          <w:tcPr>
            <w:tcW w:w="3936" w:type="pct"/>
            <w:vAlign w:val="center"/>
          </w:tcPr>
          <w:p w14:paraId="5644FAE0" w14:textId="668556CA" w:rsidR="005B1871" w:rsidRDefault="005B1871" w:rsidP="00EB595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have found the bilateral discussion approach particularly </w:t>
            </w:r>
            <w:r w:rsidR="00B668ED">
              <w:rPr>
                <w:rFonts w:ascii="Lato" w:hAnsi="Lato"/>
              </w:rPr>
              <w:t>useful</w:t>
            </w:r>
            <w:r w:rsidR="00C40197">
              <w:rPr>
                <w:rFonts w:ascii="Lato" w:hAnsi="Lato"/>
              </w:rPr>
              <w:t xml:space="preserve"> and would request a targeted approach working with each DCC user category. </w:t>
            </w:r>
            <w:r w:rsidR="00613498">
              <w:rPr>
                <w:rFonts w:ascii="Lato" w:hAnsi="Lato"/>
              </w:rPr>
              <w:t>As a Network Operator w</w:t>
            </w:r>
            <w:r w:rsidR="00C40197">
              <w:rPr>
                <w:rFonts w:ascii="Lato" w:hAnsi="Lato"/>
              </w:rPr>
              <w:t>e would welcome further dialogue via the ENA Smart Metering Steering Group</w:t>
            </w:r>
            <w:r w:rsidR="00061E2B">
              <w:rPr>
                <w:rFonts w:ascii="Lato" w:hAnsi="Lato"/>
              </w:rPr>
              <w:t xml:space="preserve"> and </w:t>
            </w:r>
            <w:r w:rsidR="00696AB8">
              <w:rPr>
                <w:rFonts w:ascii="Lato" w:hAnsi="Lato"/>
              </w:rPr>
              <w:t xml:space="preserve">recommend the DCC </w:t>
            </w:r>
            <w:r w:rsidR="00061E2B">
              <w:rPr>
                <w:rFonts w:ascii="Lato" w:hAnsi="Lato"/>
              </w:rPr>
              <w:t xml:space="preserve">look at the collaborative work </w:t>
            </w:r>
            <w:r w:rsidR="00696AB8">
              <w:rPr>
                <w:rFonts w:ascii="Lato" w:hAnsi="Lato"/>
              </w:rPr>
              <w:t xml:space="preserve">the ENA SMSG </w:t>
            </w:r>
            <w:r w:rsidR="00061E2B">
              <w:rPr>
                <w:rFonts w:ascii="Lato" w:hAnsi="Lato"/>
              </w:rPr>
              <w:t>supp</w:t>
            </w:r>
            <w:r w:rsidR="000D5BB0">
              <w:rPr>
                <w:rFonts w:ascii="Lato" w:hAnsi="Lato"/>
              </w:rPr>
              <w:t>o</w:t>
            </w:r>
            <w:r w:rsidR="00061E2B">
              <w:rPr>
                <w:rFonts w:ascii="Lato" w:hAnsi="Lato"/>
              </w:rPr>
              <w:t>rted</w:t>
            </w:r>
            <w:r w:rsidR="006E5894">
              <w:rPr>
                <w:rFonts w:ascii="Lato" w:hAnsi="Lato"/>
              </w:rPr>
              <w:t xml:space="preserve"> the DCC with</w:t>
            </w:r>
            <w:r w:rsidR="00061E2B">
              <w:rPr>
                <w:rFonts w:ascii="Lato" w:hAnsi="Lato"/>
              </w:rPr>
              <w:t xml:space="preserve"> on </w:t>
            </w:r>
            <w:r w:rsidR="006E5894">
              <w:rPr>
                <w:rFonts w:ascii="Lato" w:hAnsi="Lato"/>
              </w:rPr>
              <w:t xml:space="preserve">SEC </w:t>
            </w:r>
            <w:r w:rsidR="00061E2B">
              <w:rPr>
                <w:rFonts w:ascii="Lato" w:hAnsi="Lato"/>
              </w:rPr>
              <w:t>Modification P96 as an ex</w:t>
            </w:r>
            <w:r w:rsidR="004227B9">
              <w:rPr>
                <w:rFonts w:ascii="Lato" w:hAnsi="Lato"/>
              </w:rPr>
              <w:t>ample</w:t>
            </w:r>
            <w:r w:rsidR="00061E2B">
              <w:rPr>
                <w:rFonts w:ascii="Lato" w:hAnsi="Lato"/>
              </w:rPr>
              <w:t>.</w:t>
            </w:r>
          </w:p>
          <w:p w14:paraId="54C7E310" w14:textId="77777777" w:rsidR="003B28A9" w:rsidRDefault="003B28A9" w:rsidP="00EB595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268717C5" w14:textId="245F5E59" w:rsidR="00B22B1D" w:rsidRDefault="00B22B1D" w:rsidP="00371F6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Greater visibility of the performance of </w:t>
            </w:r>
            <w:r w:rsidR="00371F6B">
              <w:rPr>
                <w:rFonts w:ascii="Lato" w:hAnsi="Lato"/>
              </w:rPr>
              <w:t xml:space="preserve">specific parts </w:t>
            </w:r>
            <w:r w:rsidR="008A2155">
              <w:rPr>
                <w:rFonts w:ascii="Lato" w:hAnsi="Lato"/>
              </w:rPr>
              <w:t xml:space="preserve">of </w:t>
            </w:r>
            <w:r>
              <w:rPr>
                <w:rFonts w:ascii="Lato" w:hAnsi="Lato"/>
              </w:rPr>
              <w:t xml:space="preserve">the communication network; the responsiveness of </w:t>
            </w:r>
            <w:r w:rsidR="00A04E1F">
              <w:rPr>
                <w:rFonts w:ascii="Lato" w:hAnsi="Lato"/>
              </w:rPr>
              <w:t xml:space="preserve">individual </w:t>
            </w:r>
            <w:r>
              <w:rPr>
                <w:rFonts w:ascii="Lato" w:hAnsi="Lato"/>
              </w:rPr>
              <w:t>electricity meters (can be impacted by performance to SMETS and firmware upgrade status)</w:t>
            </w:r>
            <w:r w:rsidR="00A04E1F">
              <w:rPr>
                <w:rFonts w:ascii="Lato" w:hAnsi="Lato"/>
              </w:rPr>
              <w:t xml:space="preserve">; </w:t>
            </w:r>
            <w:r>
              <w:rPr>
                <w:rFonts w:ascii="Lato" w:hAnsi="Lato"/>
              </w:rPr>
              <w:t xml:space="preserve">and </w:t>
            </w:r>
            <w:r w:rsidR="00784495">
              <w:rPr>
                <w:rFonts w:ascii="Lato" w:hAnsi="Lato"/>
              </w:rPr>
              <w:t>st</w:t>
            </w:r>
            <w:r w:rsidR="001F3D3A">
              <w:rPr>
                <w:rFonts w:ascii="Lato" w:hAnsi="Lato"/>
              </w:rPr>
              <w:t>at</w:t>
            </w:r>
            <w:r w:rsidR="00784495">
              <w:rPr>
                <w:rFonts w:ascii="Lato" w:hAnsi="Lato"/>
              </w:rPr>
              <w:t xml:space="preserve">us of individual meters would </w:t>
            </w:r>
            <w:r w:rsidR="001F3D3A">
              <w:rPr>
                <w:rFonts w:ascii="Lato" w:hAnsi="Lato"/>
              </w:rPr>
              <w:t xml:space="preserve">better </w:t>
            </w:r>
            <w:r w:rsidR="00784495">
              <w:rPr>
                <w:rFonts w:ascii="Lato" w:hAnsi="Lato"/>
              </w:rPr>
              <w:t xml:space="preserve">allow us to </w:t>
            </w:r>
            <w:r w:rsidR="00371F6B">
              <w:rPr>
                <w:rFonts w:ascii="Lato" w:hAnsi="Lato"/>
              </w:rPr>
              <w:t>assess</w:t>
            </w:r>
            <w:r w:rsidR="00784495">
              <w:rPr>
                <w:rFonts w:ascii="Lato" w:hAnsi="Lato"/>
              </w:rPr>
              <w:t xml:space="preserve"> potential uses (and hence future demand)</w:t>
            </w:r>
            <w:r w:rsidR="00371F6B">
              <w:rPr>
                <w:rFonts w:ascii="Lato" w:hAnsi="Lato"/>
              </w:rPr>
              <w:t>.</w:t>
            </w:r>
          </w:p>
          <w:p w14:paraId="7E1F820E" w14:textId="10EE4B74" w:rsidR="00747830" w:rsidRPr="00B56577" w:rsidRDefault="00747830" w:rsidP="00371F6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The usefulness of any information will depend on the horizon expected and the process should reflect this.</w:t>
            </w:r>
          </w:p>
        </w:tc>
      </w:tr>
      <w:tr w:rsidR="00EB5957" w:rsidRPr="00B56577" w14:paraId="56F25F43" w14:textId="77777777" w:rsidTr="00F61A8A">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6B1E9726" w14:textId="1EFF167C" w:rsidR="00EB5957" w:rsidRPr="00B56577" w:rsidRDefault="00EB5957" w:rsidP="00EB5957">
            <w:pPr>
              <w:pStyle w:val="TableText-Left"/>
              <w:spacing w:line="276" w:lineRule="auto"/>
              <w:jc w:val="center"/>
              <w:rPr>
                <w:rFonts w:ascii="Lato" w:hAnsi="Lato"/>
                <w:color w:val="auto"/>
              </w:rPr>
            </w:pPr>
            <w:r w:rsidRPr="00B56577">
              <w:rPr>
                <w:rFonts w:ascii="Lato" w:hAnsi="Lato"/>
                <w:color w:val="auto"/>
              </w:rPr>
              <w:lastRenderedPageBreak/>
              <w:t>Q</w:t>
            </w:r>
            <w:r>
              <w:rPr>
                <w:rFonts w:ascii="Lato" w:hAnsi="Lato"/>
                <w:color w:val="auto"/>
              </w:rPr>
              <w:t>8</w:t>
            </w:r>
          </w:p>
        </w:tc>
        <w:tc>
          <w:tcPr>
            <w:tcW w:w="698" w:type="pct"/>
            <w:vAlign w:val="center"/>
          </w:tcPr>
          <w:p w14:paraId="0F997735" w14:textId="10038644" w:rsidR="00EB5957" w:rsidRPr="00B56577" w:rsidRDefault="00EB5957" w:rsidP="00EB595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397F39">
              <w:rPr>
                <w:rFonts w:ascii="Lato" w:hAnsi="Lato"/>
              </w:rPr>
              <w:t>Are there any barriers to providing DCC with such information?</w:t>
            </w:r>
          </w:p>
        </w:tc>
        <w:tc>
          <w:tcPr>
            <w:tcW w:w="3936" w:type="pct"/>
            <w:vAlign w:val="center"/>
          </w:tcPr>
          <w:p w14:paraId="6AE48C55" w14:textId="5A70F99B" w:rsidR="00AE7DFE" w:rsidRDefault="00380014" w:rsidP="00380014">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Although the smart meter roll out has been in progress for many years, as a</w:t>
            </w:r>
            <w:r w:rsidR="000E1E1E">
              <w:rPr>
                <w:rFonts w:ascii="Lato" w:hAnsi="Lato"/>
              </w:rPr>
              <w:t xml:space="preserve"> Network Operator</w:t>
            </w:r>
            <w:r>
              <w:rPr>
                <w:rFonts w:ascii="Lato" w:hAnsi="Lato"/>
              </w:rPr>
              <w:t>, we are only now able to start realising benefits and exploring options for greater use.</w:t>
            </w:r>
          </w:p>
          <w:p w14:paraId="60410F9D" w14:textId="08B3587D" w:rsidR="00AE7DFE" w:rsidRDefault="00AE7DFE" w:rsidP="00380014">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Current and future performance of the communication system and smart meters themselves </w:t>
            </w:r>
            <w:r w:rsidR="00D05850">
              <w:rPr>
                <w:rFonts w:ascii="Lato" w:hAnsi="Lato"/>
              </w:rPr>
              <w:t>makes predicting future demand more difficult.</w:t>
            </w:r>
          </w:p>
          <w:p w14:paraId="0D7EDD09" w14:textId="4ACB4D73" w:rsidR="00EB5957" w:rsidRPr="00B56577" w:rsidRDefault="00EB5957" w:rsidP="0074783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bl>
    <w:p w14:paraId="6583DB57" w14:textId="77777777" w:rsidR="0083049B" w:rsidRDefault="0083049B"/>
    <w:p w14:paraId="1B622E21" w14:textId="5C9991E7" w:rsidR="0083049B" w:rsidRPr="00680396" w:rsidRDefault="000D532A" w:rsidP="00680396">
      <w:pPr>
        <w:pStyle w:val="Heading2"/>
        <w:spacing w:before="220" w:after="220"/>
        <w:ind w:left="709" w:hanging="709"/>
        <w:rPr>
          <w:rFonts w:ascii="Lato" w:eastAsiaTheme="minorHAnsi" w:hAnsi="Lato" w:cstheme="minorBidi"/>
          <w:bCs w:val="0"/>
          <w:iCs w:val="0"/>
          <w:color w:val="CA005D"/>
          <w:szCs w:val="22"/>
        </w:rPr>
      </w:pPr>
      <w:r w:rsidRPr="000D532A">
        <w:rPr>
          <w:rFonts w:ascii="Lato" w:eastAsiaTheme="minorHAnsi" w:hAnsi="Lato" w:cstheme="minorBidi"/>
          <w:bCs w:val="0"/>
          <w:iCs w:val="0"/>
          <w:color w:val="CA005D"/>
          <w:szCs w:val="22"/>
        </w:rPr>
        <w:t>Questions on setting a materiality threshold</w:t>
      </w:r>
    </w:p>
    <w:tbl>
      <w:tblPr>
        <w:tblStyle w:val="TableTemplate1"/>
        <w:tblW w:w="5000" w:type="pct"/>
        <w:tblLook w:val="04A0" w:firstRow="1" w:lastRow="0" w:firstColumn="1" w:lastColumn="0" w:noHBand="0" w:noVBand="1"/>
      </w:tblPr>
      <w:tblGrid>
        <w:gridCol w:w="1020"/>
        <w:gridCol w:w="2230"/>
        <w:gridCol w:w="10688"/>
      </w:tblGrid>
      <w:tr w:rsidR="0083049B" w:rsidRPr="00B56577" w14:paraId="33DCC183" w14:textId="77777777" w:rsidTr="00D405ED">
        <w:trPr>
          <w:cnfStyle w:val="100000000000" w:firstRow="1" w:lastRow="0" w:firstColumn="0" w:lastColumn="0" w:oddVBand="0" w:evenVBand="0" w:oddHBand="0" w:evenHBand="0" w:firstRowFirstColumn="0" w:firstRowLastColumn="0" w:lastRowFirstColumn="0" w:lastRowLastColumn="0"/>
          <w:trHeight w:val="151"/>
        </w:trPr>
        <w:tc>
          <w:tcPr>
            <w:cnfStyle w:val="001000000000" w:firstRow="0" w:lastRow="0" w:firstColumn="1" w:lastColumn="0" w:oddVBand="0" w:evenVBand="0" w:oddHBand="0" w:evenHBand="0" w:firstRowFirstColumn="0" w:firstRowLastColumn="0" w:lastRowFirstColumn="0" w:lastRowLastColumn="0"/>
            <w:tcW w:w="366" w:type="pct"/>
            <w:vAlign w:val="top"/>
          </w:tcPr>
          <w:p w14:paraId="02D149EB" w14:textId="46CDE0CC" w:rsidR="0083049B" w:rsidRPr="00B56577" w:rsidRDefault="0083049B" w:rsidP="0083049B">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800" w:type="pct"/>
            <w:vAlign w:val="top"/>
          </w:tcPr>
          <w:p w14:paraId="320D75D8" w14:textId="6335C7E7" w:rsidR="0083049B" w:rsidRPr="00B56577" w:rsidRDefault="0083049B" w:rsidP="0083049B">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3834" w:type="pct"/>
            <w:vAlign w:val="top"/>
          </w:tcPr>
          <w:p w14:paraId="496E9F29" w14:textId="2142C1EF" w:rsidR="0083049B" w:rsidRPr="00B56577" w:rsidRDefault="0083049B" w:rsidP="0083049B">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83049B" w:rsidRPr="00B56577" w14:paraId="2BBE3F3D" w14:textId="77777777" w:rsidTr="00D405E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31E16EC7" w14:textId="4C6DD07F" w:rsidR="0083049B" w:rsidRPr="00B56577" w:rsidRDefault="0083049B" w:rsidP="0083049B">
            <w:pPr>
              <w:pStyle w:val="TableText-Left"/>
              <w:spacing w:line="276" w:lineRule="auto"/>
              <w:jc w:val="center"/>
              <w:rPr>
                <w:rFonts w:ascii="Lato" w:hAnsi="Lato"/>
              </w:rPr>
            </w:pPr>
            <w:r w:rsidRPr="00B56577">
              <w:rPr>
                <w:rFonts w:ascii="Lato" w:hAnsi="Lato"/>
                <w:color w:val="auto"/>
              </w:rPr>
              <w:t>Q</w:t>
            </w:r>
            <w:r>
              <w:rPr>
                <w:rFonts w:ascii="Lato" w:hAnsi="Lato"/>
                <w:color w:val="auto"/>
              </w:rPr>
              <w:t>9</w:t>
            </w:r>
          </w:p>
        </w:tc>
        <w:tc>
          <w:tcPr>
            <w:tcW w:w="800" w:type="pct"/>
            <w:vAlign w:val="center"/>
          </w:tcPr>
          <w:p w14:paraId="306398C4" w14:textId="2BE47666" w:rsidR="0083049B" w:rsidRPr="0006438D" w:rsidRDefault="0083049B"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06438D">
              <w:rPr>
                <w:rFonts w:ascii="Lato" w:hAnsi="Lato"/>
              </w:rPr>
              <w:t xml:space="preserve">Do you agree that a materiality threshold would need to be set to continue to enable innovation on the DCC Network, particularly under the DCC </w:t>
            </w:r>
            <w:proofErr w:type="gramStart"/>
            <w:r w:rsidRPr="0006438D">
              <w:rPr>
                <w:rFonts w:ascii="Lato" w:hAnsi="Lato"/>
              </w:rPr>
              <w:t>Other</w:t>
            </w:r>
            <w:proofErr w:type="gramEnd"/>
            <w:r w:rsidRPr="0006438D">
              <w:rPr>
                <w:rFonts w:ascii="Lato" w:hAnsi="Lato"/>
              </w:rPr>
              <w:t xml:space="preserve"> User role?</w:t>
            </w:r>
          </w:p>
        </w:tc>
        <w:tc>
          <w:tcPr>
            <w:tcW w:w="3834" w:type="pct"/>
            <w:vAlign w:val="center"/>
          </w:tcPr>
          <w:p w14:paraId="769EEDDC" w14:textId="1AAE1FE0" w:rsidR="00D405ED" w:rsidRPr="00B56577" w:rsidRDefault="001E1C9B" w:rsidP="00D405ED">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Materiality needs to be a component of any decision to </w:t>
            </w:r>
            <w:r w:rsidR="00BD4F6F">
              <w:rPr>
                <w:rFonts w:ascii="Lato" w:hAnsi="Lato"/>
              </w:rPr>
              <w:t>invest.</w:t>
            </w:r>
          </w:p>
          <w:p w14:paraId="77E87430" w14:textId="28CD9413" w:rsidR="0083049B" w:rsidRPr="00B56577" w:rsidRDefault="0083049B"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r w:rsidR="0083049B" w:rsidRPr="00B56577" w14:paraId="5F13B40C" w14:textId="77777777" w:rsidTr="00D405E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5718D8D1" w14:textId="0E891A1D" w:rsidR="0083049B" w:rsidRPr="00B56577" w:rsidRDefault="0083049B" w:rsidP="0083049B">
            <w:pPr>
              <w:pStyle w:val="TableText-Left"/>
              <w:spacing w:line="276" w:lineRule="auto"/>
              <w:jc w:val="center"/>
              <w:rPr>
                <w:rFonts w:ascii="Lato" w:hAnsi="Lato"/>
                <w:color w:val="auto"/>
              </w:rPr>
            </w:pPr>
            <w:r w:rsidRPr="00B56577">
              <w:rPr>
                <w:rFonts w:ascii="Lato" w:hAnsi="Lato"/>
                <w:color w:val="auto"/>
              </w:rPr>
              <w:t>Q</w:t>
            </w:r>
            <w:r>
              <w:rPr>
                <w:rFonts w:ascii="Lato" w:hAnsi="Lato"/>
                <w:color w:val="auto"/>
              </w:rPr>
              <w:t>10</w:t>
            </w:r>
          </w:p>
        </w:tc>
        <w:tc>
          <w:tcPr>
            <w:tcW w:w="800" w:type="pct"/>
            <w:vAlign w:val="center"/>
          </w:tcPr>
          <w:p w14:paraId="6F42B153" w14:textId="77BAA860" w:rsidR="0083049B" w:rsidRPr="00B56577" w:rsidRDefault="0083049B"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6A1494">
              <w:rPr>
                <w:rFonts w:ascii="Lato" w:hAnsi="Lato"/>
              </w:rPr>
              <w:t>In your view, how low should a threshold based on usage be set to avoid market distortions?</w:t>
            </w:r>
          </w:p>
        </w:tc>
        <w:tc>
          <w:tcPr>
            <w:tcW w:w="3834" w:type="pct"/>
            <w:vAlign w:val="center"/>
          </w:tcPr>
          <w:p w14:paraId="752BFBA9" w14:textId="48E51D76" w:rsidR="00D405ED" w:rsidRPr="00B56577" w:rsidRDefault="00BD4F6F" w:rsidP="00D405ED">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We have insufficient information to offer a view on this.</w:t>
            </w:r>
          </w:p>
          <w:p w14:paraId="6C99B077" w14:textId="7B3DBE28" w:rsidR="0083049B" w:rsidRPr="00B56577" w:rsidRDefault="0083049B"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r w:rsidR="0083049B" w:rsidRPr="00B56577" w14:paraId="09772BE6" w14:textId="77777777" w:rsidTr="00D405E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694D39CE" w14:textId="7FD56B25" w:rsidR="0083049B" w:rsidRPr="00B56577" w:rsidRDefault="0083049B" w:rsidP="0083049B">
            <w:pPr>
              <w:pStyle w:val="TableText-Left"/>
              <w:spacing w:line="276" w:lineRule="auto"/>
              <w:jc w:val="center"/>
              <w:rPr>
                <w:rFonts w:ascii="Lato" w:hAnsi="Lato"/>
                <w:color w:val="auto"/>
              </w:rPr>
            </w:pPr>
            <w:r w:rsidRPr="00B56577">
              <w:rPr>
                <w:rFonts w:ascii="Lato" w:hAnsi="Lato"/>
                <w:color w:val="auto"/>
              </w:rPr>
              <w:lastRenderedPageBreak/>
              <w:t>Q1</w:t>
            </w:r>
            <w:r>
              <w:rPr>
                <w:rFonts w:ascii="Lato" w:hAnsi="Lato"/>
                <w:color w:val="auto"/>
              </w:rPr>
              <w:t>1</w:t>
            </w:r>
          </w:p>
        </w:tc>
        <w:tc>
          <w:tcPr>
            <w:tcW w:w="800" w:type="pct"/>
            <w:vAlign w:val="center"/>
          </w:tcPr>
          <w:p w14:paraId="52AF91DD" w14:textId="5614125B" w:rsidR="0083049B" w:rsidRPr="00B56577" w:rsidRDefault="0083049B"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04F7A">
              <w:rPr>
                <w:rFonts w:ascii="Lato" w:hAnsi="Lato"/>
              </w:rPr>
              <w:t>In your view, which type of organisations should be exempt from paying charges for their intended use of the network?</w:t>
            </w:r>
          </w:p>
        </w:tc>
        <w:tc>
          <w:tcPr>
            <w:tcW w:w="3834" w:type="pct"/>
            <w:vAlign w:val="center"/>
          </w:tcPr>
          <w:p w14:paraId="21A8BFAE" w14:textId="3B24A47F" w:rsidR="00805F9E" w:rsidRDefault="003B6EA3"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agree that </w:t>
            </w:r>
            <w:r w:rsidR="00CE5BED">
              <w:rPr>
                <w:rFonts w:ascii="Lato" w:hAnsi="Lato"/>
              </w:rPr>
              <w:t xml:space="preserve">there is a place for some parties </w:t>
            </w:r>
            <w:r w:rsidR="00DD673A">
              <w:rPr>
                <w:rFonts w:ascii="Lato" w:hAnsi="Lato"/>
              </w:rPr>
              <w:t xml:space="preserve">to be exempt or have lower charges. However, </w:t>
            </w:r>
            <w:r w:rsidR="00A00F09">
              <w:rPr>
                <w:rFonts w:ascii="Lato" w:hAnsi="Lato"/>
              </w:rPr>
              <w:t xml:space="preserve">they need to be clearly defined </w:t>
            </w:r>
            <w:r w:rsidR="00C36A7C">
              <w:rPr>
                <w:rFonts w:ascii="Lato" w:hAnsi="Lato"/>
              </w:rPr>
              <w:t>with agreement and clarity as to how the charges they would have paid should be covered or socialised</w:t>
            </w:r>
            <w:r w:rsidR="00716E0F">
              <w:rPr>
                <w:rFonts w:ascii="Lato" w:hAnsi="Lato"/>
              </w:rPr>
              <w:t xml:space="preserve"> and in keeping with the DCC licence condition 18</w:t>
            </w:r>
            <w:r w:rsidR="00B329D2">
              <w:rPr>
                <w:rFonts w:ascii="Lato" w:hAnsi="Lato"/>
              </w:rPr>
              <w:t xml:space="preserve"> policy objectives for a charging methodology.</w:t>
            </w:r>
          </w:p>
          <w:p w14:paraId="347BB90E" w14:textId="46E25B86" w:rsidR="001A3C18" w:rsidRPr="00B56577" w:rsidRDefault="003F3285" w:rsidP="003F328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This</w:t>
            </w:r>
            <w:r w:rsidR="00DD673A">
              <w:rPr>
                <w:rFonts w:ascii="Lato" w:hAnsi="Lato"/>
              </w:rPr>
              <w:t xml:space="preserve"> is </w:t>
            </w:r>
            <w:r w:rsidR="005A17E4">
              <w:rPr>
                <w:rFonts w:ascii="Lato" w:hAnsi="Lato"/>
              </w:rPr>
              <w:t xml:space="preserve">also </w:t>
            </w:r>
            <w:r>
              <w:rPr>
                <w:rFonts w:ascii="Lato" w:hAnsi="Lato"/>
              </w:rPr>
              <w:t xml:space="preserve">a component </w:t>
            </w:r>
            <w:r w:rsidR="00DD673A">
              <w:rPr>
                <w:rFonts w:ascii="Lato" w:hAnsi="Lato"/>
              </w:rPr>
              <w:t xml:space="preserve">to </w:t>
            </w:r>
            <w:r w:rsidR="0069485C">
              <w:rPr>
                <w:rFonts w:ascii="Lato" w:hAnsi="Lato"/>
              </w:rPr>
              <w:t xml:space="preserve">the question of </w:t>
            </w:r>
            <w:r w:rsidR="00DD673A">
              <w:rPr>
                <w:rFonts w:ascii="Lato" w:hAnsi="Lato"/>
              </w:rPr>
              <w:t>how the communication system is funded longer term</w:t>
            </w:r>
            <w:r w:rsidR="005A17E4">
              <w:rPr>
                <w:rFonts w:ascii="Lato" w:hAnsi="Lato"/>
              </w:rPr>
              <w:t xml:space="preserve"> given that 49% of national cost benefits are not derived directly by those using the system.</w:t>
            </w:r>
          </w:p>
        </w:tc>
      </w:tr>
    </w:tbl>
    <w:p w14:paraId="0A7F3625" w14:textId="77777777" w:rsidR="000D532A" w:rsidRDefault="000D532A"/>
    <w:p w14:paraId="185999D5" w14:textId="5402673A" w:rsidR="000D532A" w:rsidRPr="00A24251" w:rsidRDefault="00A24251" w:rsidP="00A24251">
      <w:pPr>
        <w:pStyle w:val="Heading2"/>
        <w:spacing w:before="220" w:after="220"/>
        <w:ind w:left="709" w:hanging="709"/>
        <w:rPr>
          <w:rFonts w:ascii="Lato" w:eastAsiaTheme="minorHAnsi" w:hAnsi="Lato" w:cstheme="minorBidi"/>
          <w:bCs w:val="0"/>
          <w:iCs w:val="0"/>
          <w:color w:val="CA005D"/>
          <w:szCs w:val="22"/>
        </w:rPr>
      </w:pPr>
      <w:r w:rsidRPr="00A24251">
        <w:rPr>
          <w:rFonts w:ascii="Lato" w:eastAsiaTheme="minorHAnsi" w:hAnsi="Lato" w:cstheme="minorBidi"/>
          <w:bCs w:val="0"/>
          <w:iCs w:val="0"/>
          <w:color w:val="CA005D"/>
          <w:szCs w:val="22"/>
        </w:rPr>
        <w:t>Questions on ‘Read and Store’ capabilities</w:t>
      </w:r>
    </w:p>
    <w:tbl>
      <w:tblPr>
        <w:tblStyle w:val="TableTemplate1"/>
        <w:tblW w:w="5000" w:type="pct"/>
        <w:tblLook w:val="04A0" w:firstRow="1" w:lastRow="0" w:firstColumn="1" w:lastColumn="0" w:noHBand="0" w:noVBand="1"/>
      </w:tblPr>
      <w:tblGrid>
        <w:gridCol w:w="1020"/>
        <w:gridCol w:w="2088"/>
        <w:gridCol w:w="10830"/>
      </w:tblGrid>
      <w:tr w:rsidR="00B72AA1" w:rsidRPr="00B56577" w14:paraId="35ABDF19" w14:textId="77777777" w:rsidTr="00F6118F">
        <w:trPr>
          <w:cnfStyle w:val="100000000000" w:firstRow="1" w:lastRow="0" w:firstColumn="0" w:lastColumn="0" w:oddVBand="0" w:evenVBand="0" w:oddHBand="0" w:evenHBand="0" w:firstRowFirstColumn="0" w:firstRowLastColumn="0" w:lastRowFirstColumn="0" w:lastRowLastColumn="0"/>
          <w:trHeight w:val="151"/>
        </w:trPr>
        <w:tc>
          <w:tcPr>
            <w:cnfStyle w:val="001000000000" w:firstRow="0" w:lastRow="0" w:firstColumn="1" w:lastColumn="0" w:oddVBand="0" w:evenVBand="0" w:oddHBand="0" w:evenHBand="0" w:firstRowFirstColumn="0" w:firstRowLastColumn="0" w:lastRowFirstColumn="0" w:lastRowLastColumn="0"/>
            <w:tcW w:w="366" w:type="pct"/>
            <w:vAlign w:val="top"/>
          </w:tcPr>
          <w:p w14:paraId="3BD4AEBA" w14:textId="76F29A4E" w:rsidR="00B72AA1" w:rsidRPr="00B56577" w:rsidRDefault="00B72AA1" w:rsidP="00B72AA1">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749" w:type="pct"/>
            <w:vAlign w:val="top"/>
          </w:tcPr>
          <w:p w14:paraId="693FEF8F" w14:textId="00EDF656" w:rsidR="00B72AA1" w:rsidRPr="00B56577" w:rsidRDefault="00B72AA1" w:rsidP="00B72AA1">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3885" w:type="pct"/>
            <w:vAlign w:val="top"/>
          </w:tcPr>
          <w:p w14:paraId="54D6208F" w14:textId="3209B594" w:rsidR="00B72AA1" w:rsidRPr="00B56577" w:rsidRDefault="00B72AA1" w:rsidP="00B72AA1">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B72AA1" w:rsidRPr="00B56577" w14:paraId="4920AC45" w14:textId="77777777" w:rsidTr="00F6118F">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781B5E72" w14:textId="17EFCE9B" w:rsidR="00B72AA1" w:rsidRPr="00B56577" w:rsidRDefault="00B72AA1" w:rsidP="00B72AA1">
            <w:pPr>
              <w:pStyle w:val="TableText-Left"/>
              <w:spacing w:line="276" w:lineRule="auto"/>
              <w:jc w:val="center"/>
              <w:rPr>
                <w:rFonts w:ascii="Lato" w:hAnsi="Lato"/>
              </w:rPr>
            </w:pPr>
            <w:r w:rsidRPr="00B56577">
              <w:rPr>
                <w:rFonts w:ascii="Lato" w:hAnsi="Lato"/>
                <w:color w:val="auto"/>
              </w:rPr>
              <w:t>Q1</w:t>
            </w:r>
            <w:r>
              <w:rPr>
                <w:rFonts w:ascii="Lato" w:hAnsi="Lato"/>
                <w:color w:val="auto"/>
              </w:rPr>
              <w:t>2</w:t>
            </w:r>
          </w:p>
        </w:tc>
        <w:tc>
          <w:tcPr>
            <w:tcW w:w="749" w:type="pct"/>
            <w:vAlign w:val="center"/>
          </w:tcPr>
          <w:p w14:paraId="4D033CAA" w14:textId="65D5DC22" w:rsidR="00B72AA1" w:rsidRPr="00696AB8" w:rsidRDefault="00B72AA1" w:rsidP="00B72AA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696AB8">
              <w:rPr>
                <w:rFonts w:ascii="Lato" w:hAnsi="Lato"/>
              </w:rPr>
              <w:t>Do you have any insights on how smart meter data repositories could impact your use of DCC’s network?</w:t>
            </w:r>
          </w:p>
        </w:tc>
        <w:tc>
          <w:tcPr>
            <w:tcW w:w="3885" w:type="pct"/>
            <w:vAlign w:val="center"/>
          </w:tcPr>
          <w:p w14:paraId="5781466D" w14:textId="77777777" w:rsidR="00AD5FEF" w:rsidRPr="00696AB8" w:rsidRDefault="00F6118F" w:rsidP="00B72AA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696AB8">
              <w:rPr>
                <w:rFonts w:ascii="Lato" w:hAnsi="Lato"/>
              </w:rPr>
              <w:t>This would depend on:</w:t>
            </w:r>
          </w:p>
          <w:p w14:paraId="4285A6EC" w14:textId="77777777" w:rsidR="00AC2227" w:rsidRPr="00696AB8" w:rsidRDefault="00F6118F" w:rsidP="00470F81">
            <w:pPr>
              <w:pStyle w:val="TableText-Left"/>
              <w:numPr>
                <w:ilvl w:val="0"/>
                <w:numId w:val="40"/>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696AB8">
              <w:rPr>
                <w:rFonts w:ascii="Lato" w:hAnsi="Lato"/>
              </w:rPr>
              <w:t xml:space="preserve">the cost of accessing a repository </w:t>
            </w:r>
            <w:r w:rsidR="00295891" w:rsidRPr="00696AB8">
              <w:rPr>
                <w:rFonts w:ascii="Lato" w:hAnsi="Lato"/>
              </w:rPr>
              <w:t xml:space="preserve">compared to retrieving data </w:t>
            </w:r>
            <w:proofErr w:type="gramStart"/>
            <w:r w:rsidR="00295891" w:rsidRPr="00696AB8">
              <w:rPr>
                <w:rFonts w:ascii="Lato" w:hAnsi="Lato"/>
              </w:rPr>
              <w:t>ourselves;</w:t>
            </w:r>
            <w:proofErr w:type="gramEnd"/>
          </w:p>
          <w:p w14:paraId="345E27E8" w14:textId="77C6CBB6" w:rsidR="00AC2227" w:rsidRPr="00696AB8" w:rsidRDefault="00295891" w:rsidP="00470F81">
            <w:pPr>
              <w:pStyle w:val="TableText-Left"/>
              <w:numPr>
                <w:ilvl w:val="0"/>
                <w:numId w:val="40"/>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696AB8">
              <w:rPr>
                <w:rFonts w:ascii="Lato" w:hAnsi="Lato"/>
              </w:rPr>
              <w:t xml:space="preserve">the reliability associated with </w:t>
            </w:r>
            <w:r w:rsidR="00AC2227" w:rsidRPr="00696AB8">
              <w:rPr>
                <w:rFonts w:ascii="Lato" w:hAnsi="Lato"/>
              </w:rPr>
              <w:t xml:space="preserve">accessing the repository or obtaining data </w:t>
            </w:r>
            <w:proofErr w:type="gramStart"/>
            <w:r w:rsidR="00AC2227" w:rsidRPr="00696AB8">
              <w:rPr>
                <w:rFonts w:ascii="Lato" w:hAnsi="Lato"/>
              </w:rPr>
              <w:t>ourselves;</w:t>
            </w:r>
            <w:proofErr w:type="gramEnd"/>
          </w:p>
          <w:p w14:paraId="169CFB5E" w14:textId="1C742050" w:rsidR="00DF14B0" w:rsidRPr="00696AB8" w:rsidRDefault="00DF14B0" w:rsidP="00470F81">
            <w:pPr>
              <w:pStyle w:val="TableText-Left"/>
              <w:numPr>
                <w:ilvl w:val="0"/>
                <w:numId w:val="40"/>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696AB8">
              <w:rPr>
                <w:rFonts w:ascii="Lato" w:hAnsi="Lato"/>
              </w:rPr>
              <w:t xml:space="preserve">the timing of data availability in the </w:t>
            </w:r>
            <w:r w:rsidR="001C0AA4" w:rsidRPr="00696AB8">
              <w:rPr>
                <w:rFonts w:ascii="Lato" w:hAnsi="Lato"/>
              </w:rPr>
              <w:t>repository; and</w:t>
            </w:r>
          </w:p>
          <w:p w14:paraId="0364DD64" w14:textId="58BAF02E" w:rsidR="00B72AA1" w:rsidRDefault="004056F8" w:rsidP="00470F81">
            <w:pPr>
              <w:pStyle w:val="TableText-Left"/>
              <w:numPr>
                <w:ilvl w:val="0"/>
                <w:numId w:val="40"/>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696AB8">
              <w:rPr>
                <w:rFonts w:ascii="Lato" w:hAnsi="Lato"/>
              </w:rPr>
              <w:t>the scope of data available in the repository</w:t>
            </w:r>
            <w:r w:rsidR="00295891" w:rsidRPr="00696AB8">
              <w:rPr>
                <w:rFonts w:ascii="Lato" w:hAnsi="Lato"/>
              </w:rPr>
              <w:t>.</w:t>
            </w:r>
          </w:p>
          <w:p w14:paraId="1940844A" w14:textId="77777777" w:rsidR="00470F81" w:rsidRDefault="00470F81" w:rsidP="00470F8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592953E1" w14:textId="636D6164" w:rsidR="00470F81" w:rsidRPr="0014205C" w:rsidRDefault="00470F81" w:rsidP="00470F8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However, the </w:t>
            </w:r>
            <w:r w:rsidRPr="0014205C">
              <w:rPr>
                <w:rFonts w:ascii="Lato" w:hAnsi="Lato"/>
              </w:rPr>
              <w:t>DCC data repository option should be progressed at pace</w:t>
            </w:r>
            <w:r>
              <w:rPr>
                <w:rFonts w:ascii="Lato" w:hAnsi="Lato"/>
              </w:rPr>
              <w:t xml:space="preserve"> as this </w:t>
            </w:r>
            <w:r w:rsidRPr="0014205C">
              <w:rPr>
                <w:rFonts w:ascii="Lato" w:hAnsi="Lato"/>
              </w:rPr>
              <w:t>option could result in a fixed demand on the DCC network managed by the DCC themselves with traffic from all users removed, except for real-time operational activities of the DCC user.</w:t>
            </w:r>
          </w:p>
          <w:p w14:paraId="508A5305" w14:textId="77777777" w:rsidR="00470F81" w:rsidRPr="00696AB8" w:rsidRDefault="00470F81" w:rsidP="00470F8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103B2C56" w14:textId="6D8584CD" w:rsidR="004056F8" w:rsidRPr="00696AB8" w:rsidRDefault="004056F8" w:rsidP="00181CB3">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bl>
    <w:p w14:paraId="69ADB51B" w14:textId="77777777" w:rsidR="00A90540" w:rsidRDefault="00A90540"/>
    <w:p w14:paraId="75770157" w14:textId="63FA2CA6" w:rsidR="00A90540" w:rsidRPr="00A90540" w:rsidRDefault="00A90540" w:rsidP="00A90540">
      <w:pPr>
        <w:pStyle w:val="Heading2"/>
        <w:spacing w:before="220" w:after="220"/>
        <w:ind w:left="709" w:hanging="709"/>
        <w:rPr>
          <w:rFonts w:ascii="Lato" w:eastAsiaTheme="minorHAnsi" w:hAnsi="Lato" w:cstheme="minorBidi"/>
          <w:bCs w:val="0"/>
          <w:iCs w:val="0"/>
          <w:color w:val="CA005D"/>
          <w:szCs w:val="22"/>
        </w:rPr>
      </w:pPr>
      <w:r w:rsidRPr="00A90540">
        <w:rPr>
          <w:rFonts w:ascii="Lato" w:eastAsiaTheme="minorHAnsi" w:hAnsi="Lato" w:cstheme="minorBidi"/>
          <w:bCs w:val="0"/>
          <w:iCs w:val="0"/>
          <w:color w:val="CA005D"/>
          <w:szCs w:val="22"/>
        </w:rPr>
        <w:lastRenderedPageBreak/>
        <w:t>Questions on charging option 1</w:t>
      </w:r>
    </w:p>
    <w:tbl>
      <w:tblPr>
        <w:tblStyle w:val="TableTemplate1"/>
        <w:tblW w:w="5000" w:type="pct"/>
        <w:tblLook w:val="04A0" w:firstRow="1" w:lastRow="0" w:firstColumn="1" w:lastColumn="0" w:noHBand="0" w:noVBand="1"/>
      </w:tblPr>
      <w:tblGrid>
        <w:gridCol w:w="1020"/>
        <w:gridCol w:w="2088"/>
        <w:gridCol w:w="10830"/>
      </w:tblGrid>
      <w:tr w:rsidR="00A90540" w:rsidRPr="00B56577" w14:paraId="07A4EDCA" w14:textId="77777777" w:rsidTr="00F6118F">
        <w:trPr>
          <w:cnfStyle w:val="100000000000" w:firstRow="1" w:lastRow="0" w:firstColumn="0" w:lastColumn="0" w:oddVBand="0" w:evenVBand="0" w:oddHBand="0" w:evenHBand="0" w:firstRowFirstColumn="0" w:firstRowLastColumn="0" w:lastRowFirstColumn="0" w:lastRowLastColumn="0"/>
          <w:trHeight w:val="58"/>
        </w:trPr>
        <w:tc>
          <w:tcPr>
            <w:cnfStyle w:val="001000000000" w:firstRow="0" w:lastRow="0" w:firstColumn="1" w:lastColumn="0" w:oddVBand="0" w:evenVBand="0" w:oddHBand="0" w:evenHBand="0" w:firstRowFirstColumn="0" w:firstRowLastColumn="0" w:lastRowFirstColumn="0" w:lastRowLastColumn="0"/>
            <w:tcW w:w="366" w:type="pct"/>
            <w:vAlign w:val="top"/>
          </w:tcPr>
          <w:p w14:paraId="33999FFA" w14:textId="14231DAE" w:rsidR="00A90540" w:rsidRPr="00B56577" w:rsidRDefault="00A90540" w:rsidP="00A90540">
            <w:pPr>
              <w:pStyle w:val="TableText-Left"/>
              <w:spacing w:line="276" w:lineRule="auto"/>
              <w:jc w:val="center"/>
              <w:rPr>
                <w:rFonts w:ascii="Lato" w:hAnsi="Lato"/>
              </w:rPr>
            </w:pPr>
            <w:r w:rsidRPr="00B56577">
              <w:rPr>
                <w:rFonts w:ascii="Lato" w:hAnsi="Lato"/>
              </w:rPr>
              <w:t>Numb</w:t>
            </w:r>
            <w:r>
              <w:rPr>
                <w:rFonts w:ascii="Lato" w:hAnsi="Lato"/>
              </w:rPr>
              <w:t>er</w:t>
            </w:r>
          </w:p>
        </w:tc>
        <w:tc>
          <w:tcPr>
            <w:tcW w:w="749" w:type="pct"/>
            <w:vAlign w:val="top"/>
          </w:tcPr>
          <w:p w14:paraId="279B1383" w14:textId="223660FF" w:rsidR="00A90540" w:rsidRPr="0042566F" w:rsidRDefault="00A90540" w:rsidP="00A90540">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3885" w:type="pct"/>
            <w:vAlign w:val="top"/>
          </w:tcPr>
          <w:p w14:paraId="03484C54" w14:textId="1B33E6BD" w:rsidR="00A90540" w:rsidRPr="00B56577" w:rsidRDefault="00A90540" w:rsidP="00A90540">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A90540" w:rsidRPr="00B56577" w14:paraId="003E35D2" w14:textId="77777777" w:rsidTr="00F6118F">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40D909A3" w14:textId="33DDDCFF" w:rsidR="00A90540" w:rsidRPr="00B56577" w:rsidRDefault="00A90540" w:rsidP="00A90540">
            <w:pPr>
              <w:pStyle w:val="TableText-Left"/>
              <w:spacing w:line="276" w:lineRule="auto"/>
              <w:jc w:val="center"/>
              <w:rPr>
                <w:rFonts w:ascii="Lato" w:hAnsi="Lato"/>
                <w:color w:val="auto"/>
              </w:rPr>
            </w:pPr>
            <w:r w:rsidRPr="00B56577">
              <w:rPr>
                <w:rFonts w:ascii="Lato" w:hAnsi="Lato"/>
                <w:color w:val="auto"/>
              </w:rPr>
              <w:t>Q1</w:t>
            </w:r>
            <w:r>
              <w:rPr>
                <w:rFonts w:ascii="Lato" w:hAnsi="Lato"/>
                <w:color w:val="auto"/>
              </w:rPr>
              <w:t>3</w:t>
            </w:r>
          </w:p>
        </w:tc>
        <w:tc>
          <w:tcPr>
            <w:tcW w:w="749" w:type="pct"/>
            <w:vAlign w:val="center"/>
          </w:tcPr>
          <w:p w14:paraId="6153853C" w14:textId="3025749F" w:rsidR="00A90540" w:rsidRPr="00B56577" w:rsidRDefault="00A90540" w:rsidP="00A9054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2566F">
              <w:rPr>
                <w:rFonts w:ascii="Lato" w:hAnsi="Lato"/>
              </w:rPr>
              <w:t xml:space="preserve">Do you agree with our initial assessment </w:t>
            </w:r>
            <w:r w:rsidRPr="00FB6C2F">
              <w:rPr>
                <w:rFonts w:ascii="Lato" w:hAnsi="Lato"/>
              </w:rPr>
              <w:t xml:space="preserve">of the impact of </w:t>
            </w:r>
            <w:r w:rsidRPr="0042566F">
              <w:rPr>
                <w:rFonts w:ascii="Lato" w:hAnsi="Lato"/>
              </w:rPr>
              <w:t>charging option</w:t>
            </w:r>
            <w:r>
              <w:rPr>
                <w:rFonts w:ascii="Lato" w:hAnsi="Lato"/>
              </w:rPr>
              <w:t xml:space="preserve"> 1</w:t>
            </w:r>
            <w:r w:rsidRPr="0042566F">
              <w:rPr>
                <w:rFonts w:ascii="Lato" w:hAnsi="Lato"/>
              </w:rPr>
              <w:t>?</w:t>
            </w:r>
          </w:p>
        </w:tc>
        <w:tc>
          <w:tcPr>
            <w:tcW w:w="3885" w:type="pct"/>
            <w:vAlign w:val="center"/>
          </w:tcPr>
          <w:p w14:paraId="3955F9EA" w14:textId="0615ACFD" w:rsidR="009E125C" w:rsidRDefault="00696AB8" w:rsidP="009E125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9E125C">
              <w:rPr>
                <w:rFonts w:ascii="Lato" w:hAnsi="Lato"/>
              </w:rPr>
              <w:t xml:space="preserve">No. We </w:t>
            </w:r>
            <w:r w:rsidR="009E125C" w:rsidRPr="009E125C">
              <w:rPr>
                <w:rFonts w:ascii="Lato" w:hAnsi="Lato"/>
              </w:rPr>
              <w:t>support a variation of Option 1 (referred to in our response as Option 1a) whereby t</w:t>
            </w:r>
            <w:r w:rsidR="009E125C" w:rsidRPr="00563FD8">
              <w:rPr>
                <w:rFonts w:ascii="Lato" w:hAnsi="Lato"/>
              </w:rPr>
              <w:t xml:space="preserve">he charging methodology for current DCC users based on a “per meter” fixed charge should </w:t>
            </w:r>
            <w:proofErr w:type="gramStart"/>
            <w:r w:rsidR="009E125C" w:rsidRPr="00563FD8">
              <w:rPr>
                <w:rFonts w:ascii="Lato" w:hAnsi="Lato"/>
              </w:rPr>
              <w:t>remain</w:t>
            </w:r>
            <w:proofErr w:type="gramEnd"/>
            <w:r w:rsidR="009E125C" w:rsidRPr="00563FD8">
              <w:rPr>
                <w:rFonts w:ascii="Lato" w:hAnsi="Lato"/>
              </w:rPr>
              <w:t xml:space="preserve"> and consideration given to extending this to include other users who do not currently have any charges levied</w:t>
            </w:r>
            <w:r w:rsidR="009E125C" w:rsidRPr="009E125C">
              <w:rPr>
                <w:rFonts w:ascii="Lato" w:hAnsi="Lato"/>
              </w:rPr>
              <w:t xml:space="preserve"> as per the original intent and scope of DP218.</w:t>
            </w:r>
            <w:r w:rsidR="009E125C">
              <w:rPr>
                <w:rFonts w:ascii="Lato" w:hAnsi="Lato"/>
              </w:rPr>
              <w:t xml:space="preserve"> </w:t>
            </w:r>
          </w:p>
          <w:p w14:paraId="03F101B0" w14:textId="77777777" w:rsidR="009E125C" w:rsidRDefault="009E125C" w:rsidP="000A27A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5DE3D3D3" w14:textId="33951E4C" w:rsidR="000A27AA" w:rsidRDefault="00CF26A2" w:rsidP="000A27A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The data in Figure 2 </w:t>
            </w:r>
            <w:r w:rsidR="001A1976">
              <w:rPr>
                <w:rFonts w:ascii="Lato" w:hAnsi="Lato"/>
              </w:rPr>
              <w:t xml:space="preserve">is sufficient to </w:t>
            </w:r>
            <w:r w:rsidR="00E60F10">
              <w:rPr>
                <w:rFonts w:ascii="Lato" w:hAnsi="Lato"/>
              </w:rPr>
              <w:t>justif</w:t>
            </w:r>
            <w:r w:rsidR="001A1976">
              <w:rPr>
                <w:rFonts w:ascii="Lato" w:hAnsi="Lato"/>
              </w:rPr>
              <w:t>y</w:t>
            </w:r>
            <w:r>
              <w:rPr>
                <w:rFonts w:ascii="Lato" w:hAnsi="Lato"/>
              </w:rPr>
              <w:t xml:space="preserve"> not maintaining the status quo for Other Users (as the sample size </w:t>
            </w:r>
            <w:r w:rsidR="00E60F10">
              <w:rPr>
                <w:rFonts w:ascii="Lato" w:hAnsi="Lato"/>
              </w:rPr>
              <w:t xml:space="preserve">showing growth </w:t>
            </w:r>
            <w:r>
              <w:rPr>
                <w:rFonts w:ascii="Lato" w:hAnsi="Lato"/>
              </w:rPr>
              <w:t xml:space="preserve">is </w:t>
            </w:r>
            <w:r w:rsidR="00E60F10">
              <w:rPr>
                <w:rFonts w:ascii="Lato" w:hAnsi="Lato"/>
              </w:rPr>
              <w:t>over 2 years). But we would need to see the assumptions and methodology used before agreeing</w:t>
            </w:r>
            <w:r w:rsidR="00470AA7">
              <w:rPr>
                <w:rFonts w:ascii="Lato" w:hAnsi="Lato"/>
              </w:rPr>
              <w:t xml:space="preserve"> and comparison with all Users </w:t>
            </w:r>
            <w:r w:rsidR="00D45CDD">
              <w:rPr>
                <w:rFonts w:ascii="Lato" w:hAnsi="Lato"/>
              </w:rPr>
              <w:t xml:space="preserve">(including Suppliers) </w:t>
            </w:r>
            <w:r w:rsidR="00470AA7">
              <w:rPr>
                <w:rFonts w:ascii="Lato" w:hAnsi="Lato"/>
              </w:rPr>
              <w:t>not just Network Operators</w:t>
            </w:r>
            <w:r w:rsidR="001A1976">
              <w:rPr>
                <w:rFonts w:ascii="Lato" w:hAnsi="Lato"/>
              </w:rPr>
              <w:t xml:space="preserve"> as part of a wider review </w:t>
            </w:r>
            <w:r w:rsidR="001F54D3">
              <w:rPr>
                <w:rFonts w:ascii="Lato" w:hAnsi="Lato"/>
              </w:rPr>
              <w:t>for RY 2024/25 and based on a minimum of 12 months</w:t>
            </w:r>
            <w:r w:rsidR="00001C18">
              <w:rPr>
                <w:rFonts w:ascii="Lato" w:hAnsi="Lato"/>
              </w:rPr>
              <w:t>’</w:t>
            </w:r>
            <w:r w:rsidR="001F54D3">
              <w:rPr>
                <w:rFonts w:ascii="Lato" w:hAnsi="Lato"/>
              </w:rPr>
              <w:t xml:space="preserve"> worth of data</w:t>
            </w:r>
            <w:r w:rsidR="000A27AA">
              <w:rPr>
                <w:rFonts w:ascii="Lato" w:hAnsi="Lato"/>
              </w:rPr>
              <w:t xml:space="preserve">. </w:t>
            </w:r>
            <w:r w:rsidR="001F54D3">
              <w:rPr>
                <w:rFonts w:ascii="Lato" w:hAnsi="Lato"/>
              </w:rPr>
              <w:t xml:space="preserve">The recent DCC annual review of charging </w:t>
            </w:r>
            <w:r w:rsidR="00ED2003">
              <w:rPr>
                <w:rFonts w:ascii="Lato" w:hAnsi="Lato"/>
              </w:rPr>
              <w:t xml:space="preserve">methodology for RY 2023/24 concluded there was no change required. </w:t>
            </w:r>
            <w:r w:rsidR="00FB5FFB">
              <w:rPr>
                <w:rFonts w:ascii="Lato" w:hAnsi="Lato"/>
              </w:rPr>
              <w:t>Refer to our response to Q1.</w:t>
            </w:r>
          </w:p>
          <w:p w14:paraId="485E8211" w14:textId="65889931" w:rsidR="008A7679" w:rsidRPr="00B56577" w:rsidRDefault="008A7679" w:rsidP="008A767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5C2B3286" w14:textId="52803D93" w:rsidR="00A90540" w:rsidRPr="00B56577" w:rsidRDefault="00A90540" w:rsidP="00A9054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r w:rsidR="00A90540" w:rsidRPr="00B56577" w14:paraId="1A3BA580" w14:textId="77777777" w:rsidTr="00F6118F">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766E8F9" w14:textId="3653EC67" w:rsidR="00A90540" w:rsidRPr="00B56577" w:rsidRDefault="00A90540" w:rsidP="00A90540">
            <w:pPr>
              <w:pStyle w:val="TableText-Left"/>
              <w:spacing w:line="276" w:lineRule="auto"/>
              <w:jc w:val="center"/>
              <w:rPr>
                <w:rFonts w:ascii="Lato" w:hAnsi="Lato"/>
                <w:color w:val="auto"/>
              </w:rPr>
            </w:pPr>
            <w:r w:rsidRPr="00B56577">
              <w:rPr>
                <w:rFonts w:ascii="Lato" w:hAnsi="Lato"/>
                <w:color w:val="auto"/>
              </w:rPr>
              <w:t>Q1</w:t>
            </w:r>
            <w:r>
              <w:rPr>
                <w:rFonts w:ascii="Lato" w:hAnsi="Lato"/>
                <w:color w:val="auto"/>
              </w:rPr>
              <w:t>4</w:t>
            </w:r>
          </w:p>
        </w:tc>
        <w:tc>
          <w:tcPr>
            <w:tcW w:w="749" w:type="pct"/>
            <w:vAlign w:val="center"/>
          </w:tcPr>
          <w:p w14:paraId="62044F61" w14:textId="5871403C" w:rsidR="00A90540" w:rsidRPr="00B56577" w:rsidRDefault="00A90540" w:rsidP="00A9054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800E58">
              <w:rPr>
                <w:rFonts w:ascii="Lato" w:hAnsi="Lato"/>
              </w:rPr>
              <w:t>Do you think that the current charging arrangements should be retained or replaced, and why?</w:t>
            </w:r>
          </w:p>
        </w:tc>
        <w:tc>
          <w:tcPr>
            <w:tcW w:w="3885" w:type="pct"/>
            <w:vAlign w:val="center"/>
          </w:tcPr>
          <w:p w14:paraId="3C25E725" w14:textId="0ED5D554" w:rsidR="008A7679" w:rsidRPr="00B56577" w:rsidRDefault="00181CB3" w:rsidP="008A767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Maint</w:t>
            </w:r>
            <w:r w:rsidRPr="00696AB8">
              <w:rPr>
                <w:rFonts w:ascii="Lato" w:hAnsi="Lato"/>
              </w:rPr>
              <w:t>aining the current system would require minimal change</w:t>
            </w:r>
            <w:r w:rsidR="00321167" w:rsidRPr="00696AB8">
              <w:rPr>
                <w:rFonts w:ascii="Lato" w:hAnsi="Lato"/>
              </w:rPr>
              <w:t>. However, it needs to be recognised that Suppliers and Distributors are recovering costs on</w:t>
            </w:r>
            <w:r w:rsidR="00D73ECF" w:rsidRPr="00696AB8">
              <w:rPr>
                <w:rFonts w:ascii="Lato" w:hAnsi="Lato"/>
              </w:rPr>
              <w:t xml:space="preserve"> behalf of all stakeholders and,</w:t>
            </w:r>
            <w:r w:rsidR="002E4E3C" w:rsidRPr="00696AB8">
              <w:rPr>
                <w:rFonts w:ascii="Lato" w:hAnsi="Lato"/>
              </w:rPr>
              <w:t xml:space="preserve"> </w:t>
            </w:r>
            <w:r w:rsidR="00D73ECF" w:rsidRPr="00696AB8">
              <w:rPr>
                <w:rFonts w:ascii="Lato" w:hAnsi="Lato"/>
              </w:rPr>
              <w:t>as such, longer term assurance as to funding of this approach is needed for it to be sustainable.</w:t>
            </w:r>
          </w:p>
          <w:p w14:paraId="5A661B8C" w14:textId="4DD809AC" w:rsidR="00A90540" w:rsidRPr="00B56577" w:rsidRDefault="00A90540" w:rsidP="00A9054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bl>
    <w:p w14:paraId="27EE8796" w14:textId="77777777" w:rsidR="00F15596" w:rsidRDefault="00F15596"/>
    <w:p w14:paraId="71981D70" w14:textId="13384229" w:rsidR="00714724" w:rsidRPr="00714724" w:rsidRDefault="00714724" w:rsidP="00714724">
      <w:pPr>
        <w:pStyle w:val="Heading2"/>
        <w:spacing w:before="220" w:after="220"/>
        <w:ind w:left="709" w:hanging="709"/>
        <w:rPr>
          <w:rFonts w:ascii="Lato" w:eastAsiaTheme="minorHAnsi" w:hAnsi="Lato" w:cstheme="minorBidi"/>
          <w:bCs w:val="0"/>
          <w:iCs w:val="0"/>
          <w:color w:val="CA005D"/>
          <w:szCs w:val="22"/>
        </w:rPr>
      </w:pPr>
      <w:r w:rsidRPr="00A90540">
        <w:rPr>
          <w:rFonts w:ascii="Lato" w:eastAsiaTheme="minorHAnsi" w:hAnsi="Lato" w:cstheme="minorBidi"/>
          <w:bCs w:val="0"/>
          <w:iCs w:val="0"/>
          <w:color w:val="CA005D"/>
          <w:szCs w:val="22"/>
        </w:rPr>
        <w:lastRenderedPageBreak/>
        <w:t xml:space="preserve">Questions on charging option </w:t>
      </w:r>
      <w:r>
        <w:rPr>
          <w:rFonts w:ascii="Lato" w:eastAsiaTheme="minorHAnsi" w:hAnsi="Lato" w:cstheme="minorBidi"/>
          <w:bCs w:val="0"/>
          <w:iCs w:val="0"/>
          <w:color w:val="CA005D"/>
          <w:szCs w:val="22"/>
        </w:rPr>
        <w:t>2</w:t>
      </w:r>
    </w:p>
    <w:tbl>
      <w:tblPr>
        <w:tblStyle w:val="TableTemplate1"/>
        <w:tblW w:w="5000" w:type="pct"/>
        <w:tblLook w:val="04A0" w:firstRow="1" w:lastRow="0" w:firstColumn="1" w:lastColumn="0" w:noHBand="0" w:noVBand="1"/>
      </w:tblPr>
      <w:tblGrid>
        <w:gridCol w:w="1020"/>
        <w:gridCol w:w="1946"/>
        <w:gridCol w:w="10972"/>
      </w:tblGrid>
      <w:tr w:rsidR="00F15596" w:rsidRPr="00B56577" w14:paraId="3FC27B6E" w14:textId="77777777" w:rsidTr="008A7679">
        <w:trPr>
          <w:cnfStyle w:val="100000000000" w:firstRow="1" w:lastRow="0" w:firstColumn="0" w:lastColumn="0" w:oddVBand="0" w:evenVBand="0" w:oddHBand="0"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366" w:type="pct"/>
            <w:vAlign w:val="top"/>
          </w:tcPr>
          <w:p w14:paraId="31169307" w14:textId="596C7BB1" w:rsidR="00F15596" w:rsidRPr="00DE5A35" w:rsidRDefault="00F15596" w:rsidP="00F15596">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698" w:type="pct"/>
            <w:vAlign w:val="top"/>
          </w:tcPr>
          <w:p w14:paraId="4A134FB4" w14:textId="6710D668" w:rsidR="00F15596" w:rsidRPr="00800E58" w:rsidRDefault="00F15596" w:rsidP="00F15596">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3936" w:type="pct"/>
            <w:vAlign w:val="top"/>
          </w:tcPr>
          <w:p w14:paraId="61E59643" w14:textId="0BFE3ABC" w:rsidR="00F15596" w:rsidRPr="00B56577" w:rsidRDefault="00F15596" w:rsidP="00F15596">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F15596" w:rsidRPr="00B56577" w14:paraId="394B496C" w14:textId="77777777" w:rsidTr="008A7679">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616F1884" w14:textId="77252E1B" w:rsidR="00F15596" w:rsidRPr="00DE5A35" w:rsidRDefault="00F15596" w:rsidP="00F15596">
            <w:pPr>
              <w:pStyle w:val="TableText-Left"/>
              <w:spacing w:line="276" w:lineRule="auto"/>
              <w:jc w:val="center"/>
              <w:rPr>
                <w:rFonts w:ascii="Lato" w:hAnsi="Lato"/>
              </w:rPr>
            </w:pPr>
            <w:r w:rsidRPr="00DE5A35">
              <w:rPr>
                <w:rFonts w:ascii="Lato" w:hAnsi="Lato"/>
                <w:color w:val="auto"/>
              </w:rPr>
              <w:t>Q15</w:t>
            </w:r>
          </w:p>
        </w:tc>
        <w:tc>
          <w:tcPr>
            <w:tcW w:w="698" w:type="pct"/>
            <w:vAlign w:val="center"/>
          </w:tcPr>
          <w:p w14:paraId="7E0C71C4" w14:textId="6866BABE" w:rsidR="00F15596" w:rsidRPr="00DE5A35" w:rsidRDefault="00F15596" w:rsidP="00F155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DE5A35">
              <w:rPr>
                <w:rFonts w:ascii="Lato" w:hAnsi="Lato"/>
              </w:rPr>
              <w:t xml:space="preserve">Do you agree with our initial assessment </w:t>
            </w:r>
            <w:r w:rsidRPr="00FB6C2F">
              <w:rPr>
                <w:rFonts w:ascii="Lato" w:hAnsi="Lato"/>
              </w:rPr>
              <w:t xml:space="preserve">of the impact of </w:t>
            </w:r>
            <w:r w:rsidRPr="00DE5A35">
              <w:rPr>
                <w:rFonts w:ascii="Lato" w:hAnsi="Lato"/>
              </w:rPr>
              <w:t>charging option</w:t>
            </w:r>
            <w:r>
              <w:rPr>
                <w:rFonts w:ascii="Lato" w:hAnsi="Lato"/>
              </w:rPr>
              <w:t xml:space="preserve"> 2</w:t>
            </w:r>
            <w:r w:rsidRPr="00DE5A35">
              <w:rPr>
                <w:rFonts w:ascii="Lato" w:hAnsi="Lato"/>
              </w:rPr>
              <w:t>?</w:t>
            </w:r>
          </w:p>
        </w:tc>
        <w:tc>
          <w:tcPr>
            <w:tcW w:w="3936" w:type="pct"/>
            <w:vAlign w:val="center"/>
          </w:tcPr>
          <w:p w14:paraId="2FE0A837" w14:textId="43D47595" w:rsidR="008A7679" w:rsidRDefault="00EB11D2" w:rsidP="008A767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have insufficient information to offer </w:t>
            </w:r>
            <w:r w:rsidR="00D57344">
              <w:rPr>
                <w:rFonts w:ascii="Lato" w:hAnsi="Lato"/>
              </w:rPr>
              <w:t xml:space="preserve">agreement or not </w:t>
            </w:r>
            <w:r>
              <w:rPr>
                <w:rFonts w:ascii="Lato" w:hAnsi="Lato"/>
              </w:rPr>
              <w:t>on this</w:t>
            </w:r>
            <w:r w:rsidR="00D57344">
              <w:rPr>
                <w:rFonts w:ascii="Lato" w:hAnsi="Lato"/>
              </w:rPr>
              <w:t xml:space="preserve"> option</w:t>
            </w:r>
            <w:r>
              <w:rPr>
                <w:rFonts w:ascii="Lato" w:hAnsi="Lato"/>
              </w:rPr>
              <w:t xml:space="preserve">. Refer to our response to Q1 and Q13. </w:t>
            </w:r>
            <w:r w:rsidR="002A2456">
              <w:rPr>
                <w:rFonts w:ascii="Lato" w:hAnsi="Lato"/>
              </w:rPr>
              <w:t xml:space="preserve">Option 2 </w:t>
            </w:r>
            <w:r w:rsidR="00443985">
              <w:rPr>
                <w:rFonts w:ascii="Lato" w:hAnsi="Lato"/>
              </w:rPr>
              <w:t>is a progression of Option 1 but with added complexity</w:t>
            </w:r>
            <w:r w:rsidR="00ED2003">
              <w:rPr>
                <w:rFonts w:ascii="Lato" w:hAnsi="Lato"/>
              </w:rPr>
              <w:t xml:space="preserve"> and trigger a wholesale review of the charging methodology for all DCC users</w:t>
            </w:r>
            <w:r w:rsidR="00FD6522">
              <w:rPr>
                <w:rFonts w:ascii="Lato" w:hAnsi="Lato"/>
              </w:rPr>
              <w:t xml:space="preserve"> as we recommend should be part of the DCC annual review of charging methodology RY 2024/25 once the DCC has more than 12 months</w:t>
            </w:r>
            <w:r w:rsidR="00C729E4">
              <w:rPr>
                <w:rFonts w:ascii="Lato" w:hAnsi="Lato"/>
              </w:rPr>
              <w:t>’</w:t>
            </w:r>
            <w:r w:rsidR="00FD6522">
              <w:rPr>
                <w:rFonts w:ascii="Lato" w:hAnsi="Lato"/>
              </w:rPr>
              <w:t xml:space="preserve"> worth of data from </w:t>
            </w:r>
            <w:r w:rsidR="00C4572A">
              <w:rPr>
                <w:rFonts w:ascii="Lato" w:hAnsi="Lato"/>
              </w:rPr>
              <w:t>DCC Users (e.g. Electricity Distributors)</w:t>
            </w:r>
            <w:r w:rsidR="00C729E4">
              <w:rPr>
                <w:rFonts w:ascii="Lato" w:hAnsi="Lato"/>
              </w:rPr>
              <w:t xml:space="preserve">. </w:t>
            </w:r>
            <w:r w:rsidR="007E40BF">
              <w:rPr>
                <w:rFonts w:ascii="Lato" w:hAnsi="Lato"/>
              </w:rPr>
              <w:t>Refer to our response to Q1.</w:t>
            </w:r>
          </w:p>
          <w:p w14:paraId="194A054D" w14:textId="77777777" w:rsidR="00855594" w:rsidRDefault="00855594" w:rsidP="008A767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496430F5" w14:textId="7AB8247E" w:rsidR="00855594" w:rsidRPr="00B56577" w:rsidRDefault="00855594" w:rsidP="008A767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It maintains the fixed charge principle</w:t>
            </w:r>
            <w:r w:rsidR="00BD335F">
              <w:rPr>
                <w:rFonts w:ascii="Lato" w:hAnsi="Lato"/>
              </w:rPr>
              <w:t xml:space="preserve"> but introduces </w:t>
            </w:r>
            <w:r w:rsidR="00BD335F" w:rsidRPr="00ED2003">
              <w:rPr>
                <w:rFonts w:ascii="Lato" w:hAnsi="Lato"/>
              </w:rPr>
              <w:t>additional uncertainty for Users</w:t>
            </w:r>
            <w:r w:rsidR="00EA19DD" w:rsidRPr="00ED2003">
              <w:rPr>
                <w:rFonts w:ascii="Lato" w:hAnsi="Lato"/>
              </w:rPr>
              <w:t>. I</w:t>
            </w:r>
            <w:r w:rsidR="0018080F" w:rsidRPr="00ED2003">
              <w:rPr>
                <w:rFonts w:ascii="Lato" w:hAnsi="Lato"/>
              </w:rPr>
              <w:t xml:space="preserve">t needs to be recognised that Suppliers and </w:t>
            </w:r>
            <w:r w:rsidR="00EB11D2" w:rsidRPr="00ED2003">
              <w:rPr>
                <w:rFonts w:ascii="Lato" w:hAnsi="Lato"/>
              </w:rPr>
              <w:t xml:space="preserve">Network Operators </w:t>
            </w:r>
            <w:r w:rsidR="0018080F" w:rsidRPr="00ED2003">
              <w:rPr>
                <w:rFonts w:ascii="Lato" w:hAnsi="Lato"/>
              </w:rPr>
              <w:t>are recovering costs on behalf of all stakeholders and, as such, longer term assurance as to funding of this approach is needed for it to be sustainable.</w:t>
            </w:r>
          </w:p>
          <w:p w14:paraId="3E756909" w14:textId="36D047FE" w:rsidR="00F15596" w:rsidRPr="00B56577" w:rsidRDefault="00F15596"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r w:rsidR="00F15596" w:rsidRPr="00B56577" w14:paraId="5A370E54" w14:textId="77777777" w:rsidTr="008A7679">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2EE67D0A" w14:textId="08C248DC" w:rsidR="00F15596" w:rsidRPr="00DE5A35" w:rsidRDefault="00F15596" w:rsidP="00F15596">
            <w:pPr>
              <w:pStyle w:val="TableText-Left"/>
              <w:spacing w:line="276" w:lineRule="auto"/>
              <w:jc w:val="center"/>
              <w:rPr>
                <w:rFonts w:ascii="Lato" w:hAnsi="Lato"/>
                <w:color w:val="auto"/>
              </w:rPr>
            </w:pPr>
            <w:r w:rsidRPr="00DE5A35">
              <w:rPr>
                <w:rFonts w:ascii="Lato" w:hAnsi="Lato"/>
                <w:color w:val="auto"/>
              </w:rPr>
              <w:t>Q16</w:t>
            </w:r>
          </w:p>
        </w:tc>
        <w:tc>
          <w:tcPr>
            <w:tcW w:w="698" w:type="pct"/>
            <w:vAlign w:val="center"/>
          </w:tcPr>
          <w:p w14:paraId="5B57A1F4" w14:textId="7F2D31BC" w:rsidR="00F15596" w:rsidRPr="00800E58" w:rsidRDefault="00F15596" w:rsidP="00F155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DE5A35">
              <w:rPr>
                <w:rFonts w:ascii="Lato" w:hAnsi="Lato"/>
              </w:rPr>
              <w:t>How should weighting factors be calculated and updated?</w:t>
            </w:r>
          </w:p>
        </w:tc>
        <w:tc>
          <w:tcPr>
            <w:tcW w:w="3936" w:type="pct"/>
            <w:vAlign w:val="center"/>
          </w:tcPr>
          <w:p w14:paraId="27F14780" w14:textId="2FA7027F" w:rsidR="008A7679" w:rsidRPr="00B56577" w:rsidRDefault="00867BB7" w:rsidP="008A767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have insufficient information to offer a view on this.  The DCC should make proposals as part of their </w:t>
            </w:r>
            <w:r w:rsidR="00EA43A3">
              <w:rPr>
                <w:rFonts w:ascii="Lato" w:hAnsi="Lato"/>
              </w:rPr>
              <w:t xml:space="preserve">licence charging methodology </w:t>
            </w:r>
            <w:r>
              <w:rPr>
                <w:rFonts w:ascii="Lato" w:hAnsi="Lato"/>
              </w:rPr>
              <w:t>review</w:t>
            </w:r>
            <w:r w:rsidR="00EA43A3">
              <w:rPr>
                <w:rFonts w:ascii="Lato" w:hAnsi="Lato"/>
              </w:rPr>
              <w:t>.</w:t>
            </w:r>
            <w:r w:rsidR="007E40BF">
              <w:rPr>
                <w:rFonts w:ascii="Lato" w:hAnsi="Lato"/>
              </w:rPr>
              <w:t xml:space="preserve"> Refer to our response to Q1.</w:t>
            </w:r>
          </w:p>
          <w:p w14:paraId="4BECE5C2" w14:textId="2CA262B6" w:rsidR="00F15596" w:rsidRPr="00B56577" w:rsidRDefault="00F15596"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r w:rsidR="00F15596" w:rsidRPr="00B56577" w14:paraId="32E42DBE" w14:textId="77777777" w:rsidTr="008A7679">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4A9A543F" w14:textId="61AF86C7" w:rsidR="00F15596" w:rsidRPr="00DE5A35" w:rsidRDefault="00F15596" w:rsidP="00F15596">
            <w:pPr>
              <w:pStyle w:val="TableText-Left"/>
              <w:spacing w:line="276" w:lineRule="auto"/>
              <w:jc w:val="center"/>
              <w:rPr>
                <w:rFonts w:ascii="Lato" w:hAnsi="Lato"/>
                <w:color w:val="auto"/>
              </w:rPr>
            </w:pPr>
            <w:r w:rsidRPr="00DE5A35">
              <w:rPr>
                <w:rFonts w:ascii="Lato" w:hAnsi="Lato"/>
                <w:color w:val="auto"/>
              </w:rPr>
              <w:t>Q17</w:t>
            </w:r>
          </w:p>
        </w:tc>
        <w:tc>
          <w:tcPr>
            <w:tcW w:w="698" w:type="pct"/>
            <w:vAlign w:val="center"/>
          </w:tcPr>
          <w:p w14:paraId="1D9ED0E7" w14:textId="0796D525" w:rsidR="00F15596" w:rsidRPr="00800E58" w:rsidRDefault="00F15596" w:rsidP="00F155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DE5A35">
              <w:rPr>
                <w:rFonts w:ascii="Lato" w:hAnsi="Lato"/>
              </w:rPr>
              <w:t>Are there any other impacts or design considerations that should be captured</w:t>
            </w:r>
            <w:r>
              <w:rPr>
                <w:rFonts w:ascii="Lato" w:hAnsi="Lato"/>
              </w:rPr>
              <w:t xml:space="preserve"> under charging option 2</w:t>
            </w:r>
            <w:r w:rsidRPr="00DE5A35">
              <w:rPr>
                <w:rFonts w:ascii="Lato" w:hAnsi="Lato"/>
              </w:rPr>
              <w:t>?</w:t>
            </w:r>
          </w:p>
        </w:tc>
        <w:tc>
          <w:tcPr>
            <w:tcW w:w="3936" w:type="pct"/>
            <w:vAlign w:val="center"/>
          </w:tcPr>
          <w:p w14:paraId="2CDB4616" w14:textId="055D02A4" w:rsidR="001552EB" w:rsidRPr="0069220D" w:rsidRDefault="00B11C82" w:rsidP="0069220D">
            <w:pPr>
              <w:pStyle w:val="TableText-Left"/>
              <w:spacing w:line="276" w:lineRule="auto"/>
              <w:cnfStyle w:val="000000000000" w:firstRow="0" w:lastRow="0" w:firstColumn="0" w:lastColumn="0" w:oddVBand="0" w:evenVBand="0" w:oddHBand="0" w:evenHBand="0" w:firstRowFirstColumn="0" w:firstRowLastColumn="0" w:lastRowFirstColumn="0" w:lastRowLastColumn="0"/>
              <w:rPr>
                <w:b/>
                <w:color w:val="007C31"/>
                <w:sz w:val="48"/>
                <w:szCs w:val="48"/>
              </w:rPr>
            </w:pPr>
            <w:r>
              <w:rPr>
                <w:rFonts w:ascii="Lato" w:hAnsi="Lato"/>
              </w:rPr>
              <w:t xml:space="preserve">If </w:t>
            </w:r>
            <w:r w:rsidR="00EF6DD6">
              <w:rPr>
                <w:rFonts w:ascii="Lato" w:hAnsi="Lato"/>
              </w:rPr>
              <w:t>usage charging is to be progressed, better understanding and visibility of DCC</w:t>
            </w:r>
            <w:r w:rsidR="00230913">
              <w:rPr>
                <w:rFonts w:ascii="Lato" w:hAnsi="Lato"/>
              </w:rPr>
              <w:t>’s own fixed and variable</w:t>
            </w:r>
            <w:r w:rsidR="00EF6DD6">
              <w:rPr>
                <w:rFonts w:ascii="Lato" w:hAnsi="Lato"/>
              </w:rPr>
              <w:t xml:space="preserve"> costs are </w:t>
            </w:r>
            <w:r w:rsidR="00C3630D">
              <w:rPr>
                <w:rFonts w:ascii="Lato" w:hAnsi="Lato"/>
              </w:rPr>
              <w:t>necessary</w:t>
            </w:r>
            <w:r w:rsidR="0069220D">
              <w:rPr>
                <w:rFonts w:ascii="Lato" w:hAnsi="Lato"/>
              </w:rPr>
              <w:t xml:space="preserve"> – a good example of this is the </w:t>
            </w:r>
            <w:proofErr w:type="gramStart"/>
            <w:r w:rsidR="0069220D">
              <w:rPr>
                <w:rFonts w:ascii="Lato" w:hAnsi="Lato"/>
              </w:rPr>
              <w:t xml:space="preserve">proposal </w:t>
            </w:r>
            <w:r w:rsidR="00986B3C">
              <w:rPr>
                <w:rFonts w:ascii="Lato" w:hAnsi="Lato"/>
              </w:rPr>
              <w:t xml:space="preserve"> under</w:t>
            </w:r>
            <w:proofErr w:type="gramEnd"/>
            <w:r w:rsidR="00986B3C">
              <w:rPr>
                <w:rFonts w:ascii="Lato" w:hAnsi="Lato"/>
              </w:rPr>
              <w:t xml:space="preserve"> SEC Modification </w:t>
            </w:r>
            <w:r w:rsidR="0069647F">
              <w:rPr>
                <w:rFonts w:ascii="Lato" w:hAnsi="Lato"/>
              </w:rPr>
              <w:t>MP263</w:t>
            </w:r>
            <w:r w:rsidR="0069647F" w:rsidRPr="0069220D">
              <w:rPr>
                <w:rFonts w:ascii="Lato" w:hAnsi="Lato"/>
              </w:rPr>
              <w:t>‘Improving transparency of DCC indicative costs’</w:t>
            </w:r>
            <w:r w:rsidR="00C3630D">
              <w:rPr>
                <w:rFonts w:ascii="Lato" w:hAnsi="Lato"/>
              </w:rPr>
              <w:t xml:space="preserve">. </w:t>
            </w:r>
            <w:r w:rsidR="001C211B">
              <w:rPr>
                <w:rFonts w:ascii="Lato" w:hAnsi="Lato"/>
              </w:rPr>
              <w:t xml:space="preserve">As described </w:t>
            </w:r>
            <w:r w:rsidR="007F107B">
              <w:rPr>
                <w:rFonts w:ascii="Lato" w:hAnsi="Lato"/>
              </w:rPr>
              <w:t>in the consultation, a</w:t>
            </w:r>
            <w:r w:rsidR="00C3630D">
              <w:rPr>
                <w:rFonts w:ascii="Lato" w:hAnsi="Lato"/>
              </w:rPr>
              <w:t>ny change in usage, up or down, will impact other users</w:t>
            </w:r>
            <w:r w:rsidR="001552EB">
              <w:rPr>
                <w:rFonts w:ascii="Lato" w:hAnsi="Lato"/>
              </w:rPr>
              <w:t xml:space="preserve"> as the overall DCC charge will not change.</w:t>
            </w:r>
            <w:r w:rsidR="007F107B">
              <w:rPr>
                <w:rFonts w:ascii="Lato" w:hAnsi="Lato"/>
              </w:rPr>
              <w:t xml:space="preserve"> </w:t>
            </w:r>
          </w:p>
          <w:p w14:paraId="4594D83A" w14:textId="77777777" w:rsidR="00F15596" w:rsidRDefault="00F15596"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70C0E37D" w14:textId="793E116B" w:rsidR="001552EB" w:rsidRPr="00B56577" w:rsidRDefault="001552EB"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r w:rsidR="00F15596" w:rsidRPr="00B56577" w14:paraId="6C0ECDCC" w14:textId="77777777" w:rsidTr="008A7679">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75A39241" w14:textId="07FEFA9A" w:rsidR="00F15596" w:rsidRPr="00DE5A35" w:rsidRDefault="00F15596" w:rsidP="00F15596">
            <w:pPr>
              <w:pStyle w:val="TableText-Left"/>
              <w:spacing w:line="276" w:lineRule="auto"/>
              <w:jc w:val="center"/>
              <w:rPr>
                <w:rFonts w:ascii="Lato" w:hAnsi="Lato"/>
                <w:color w:val="auto"/>
              </w:rPr>
            </w:pPr>
            <w:r w:rsidRPr="00DE5A35">
              <w:rPr>
                <w:rFonts w:ascii="Lato" w:hAnsi="Lato"/>
                <w:color w:val="auto"/>
              </w:rPr>
              <w:lastRenderedPageBreak/>
              <w:t>Q18</w:t>
            </w:r>
          </w:p>
        </w:tc>
        <w:tc>
          <w:tcPr>
            <w:tcW w:w="698" w:type="pct"/>
            <w:vAlign w:val="center"/>
          </w:tcPr>
          <w:p w14:paraId="1F2EAE7E" w14:textId="1317B36D" w:rsidR="00F15596" w:rsidRPr="00800E58" w:rsidRDefault="00F15596" w:rsidP="00F155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DE5A35">
              <w:rPr>
                <w:rFonts w:ascii="Lato" w:hAnsi="Lato"/>
              </w:rPr>
              <w:t xml:space="preserve">How should the risk of under/over recovery be addressed under </w:t>
            </w:r>
            <w:r>
              <w:rPr>
                <w:rFonts w:ascii="Lato" w:hAnsi="Lato"/>
              </w:rPr>
              <w:t>charging</w:t>
            </w:r>
            <w:r w:rsidRPr="00DE5A35">
              <w:rPr>
                <w:rFonts w:ascii="Lato" w:hAnsi="Lato"/>
              </w:rPr>
              <w:t xml:space="preserve"> option</w:t>
            </w:r>
            <w:r>
              <w:rPr>
                <w:rFonts w:ascii="Lato" w:hAnsi="Lato"/>
              </w:rPr>
              <w:t xml:space="preserve"> 2</w:t>
            </w:r>
            <w:r w:rsidRPr="00DE5A35">
              <w:rPr>
                <w:rFonts w:ascii="Lato" w:hAnsi="Lato"/>
              </w:rPr>
              <w:t>?</w:t>
            </w:r>
          </w:p>
        </w:tc>
        <w:tc>
          <w:tcPr>
            <w:tcW w:w="3936" w:type="pct"/>
            <w:vAlign w:val="center"/>
          </w:tcPr>
          <w:p w14:paraId="72A1ADA2" w14:textId="749EE328" w:rsidR="008A7679" w:rsidRPr="00B56577" w:rsidRDefault="008C048F" w:rsidP="008A767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The DCC should be in a position to accept greater cost risk</w:t>
            </w:r>
            <w:r w:rsidR="006723CC">
              <w:rPr>
                <w:rFonts w:ascii="Lato" w:hAnsi="Lato"/>
              </w:rPr>
              <w:t xml:space="preserve"> as the </w:t>
            </w:r>
            <w:r w:rsidR="000C138C">
              <w:rPr>
                <w:rFonts w:ascii="Lato" w:hAnsi="Lato"/>
              </w:rPr>
              <w:t xml:space="preserve">DCC </w:t>
            </w:r>
            <w:r w:rsidR="006723CC">
              <w:rPr>
                <w:rFonts w:ascii="Lato" w:hAnsi="Lato"/>
              </w:rPr>
              <w:t xml:space="preserve">network </w:t>
            </w:r>
            <w:r w:rsidR="000C138C">
              <w:rPr>
                <w:rFonts w:ascii="Lato" w:hAnsi="Lato"/>
              </w:rPr>
              <w:t xml:space="preserve">is </w:t>
            </w:r>
            <w:r w:rsidR="00A659C8">
              <w:rPr>
                <w:rFonts w:ascii="Lato" w:hAnsi="Lato"/>
              </w:rPr>
              <w:t xml:space="preserve">a </w:t>
            </w:r>
            <w:r w:rsidR="006723CC">
              <w:rPr>
                <w:rFonts w:ascii="Lato" w:hAnsi="Lato"/>
              </w:rPr>
              <w:t xml:space="preserve">central delivery system provided by </w:t>
            </w:r>
            <w:proofErr w:type="gramStart"/>
            <w:r w:rsidR="006723CC">
              <w:rPr>
                <w:rFonts w:ascii="Lato" w:hAnsi="Lato"/>
              </w:rPr>
              <w:t xml:space="preserve">a </w:t>
            </w:r>
            <w:r w:rsidR="000C138C">
              <w:rPr>
                <w:rFonts w:ascii="Lato" w:hAnsi="Lato"/>
              </w:rPr>
              <w:t xml:space="preserve"> profit</w:t>
            </w:r>
            <w:proofErr w:type="gramEnd"/>
            <w:r w:rsidR="000C138C">
              <w:rPr>
                <w:rFonts w:ascii="Lato" w:hAnsi="Lato"/>
              </w:rPr>
              <w:t xml:space="preserve"> </w:t>
            </w:r>
            <w:r w:rsidR="006723CC">
              <w:rPr>
                <w:rFonts w:ascii="Lato" w:hAnsi="Lato"/>
              </w:rPr>
              <w:t xml:space="preserve"> making </w:t>
            </w:r>
            <w:r w:rsidR="00030412">
              <w:rPr>
                <w:rFonts w:ascii="Lato" w:hAnsi="Lato"/>
              </w:rPr>
              <w:t>organisation</w:t>
            </w:r>
            <w:r w:rsidR="006723CC">
              <w:rPr>
                <w:rFonts w:ascii="Lato" w:hAnsi="Lato"/>
              </w:rPr>
              <w:t xml:space="preserve">. </w:t>
            </w:r>
            <w:r w:rsidR="00117167">
              <w:rPr>
                <w:rFonts w:ascii="Lato" w:hAnsi="Lato"/>
              </w:rPr>
              <w:t xml:space="preserve">Whereas, in comparison, </w:t>
            </w:r>
            <w:r w:rsidR="006723CC">
              <w:rPr>
                <w:rFonts w:ascii="Lato" w:hAnsi="Lato"/>
              </w:rPr>
              <w:t xml:space="preserve">the </w:t>
            </w:r>
            <w:proofErr w:type="spellStart"/>
            <w:r w:rsidR="006723CC">
              <w:rPr>
                <w:rFonts w:ascii="Lato" w:hAnsi="Lato"/>
              </w:rPr>
              <w:t>BSSCo</w:t>
            </w:r>
            <w:proofErr w:type="spellEnd"/>
            <w:r w:rsidR="006723CC">
              <w:rPr>
                <w:rFonts w:ascii="Lato" w:hAnsi="Lato"/>
              </w:rPr>
              <w:t xml:space="preserve"> who provide the central service for settlement as a non</w:t>
            </w:r>
            <w:r w:rsidR="001729A7">
              <w:rPr>
                <w:rFonts w:ascii="Lato" w:hAnsi="Lato"/>
              </w:rPr>
              <w:t>-</w:t>
            </w:r>
            <w:r w:rsidR="006723CC">
              <w:rPr>
                <w:rFonts w:ascii="Lato" w:hAnsi="Lato"/>
              </w:rPr>
              <w:t xml:space="preserve">profit organisation </w:t>
            </w:r>
            <w:r w:rsidR="00117167">
              <w:rPr>
                <w:rFonts w:ascii="Lato" w:hAnsi="Lato"/>
              </w:rPr>
              <w:t xml:space="preserve">and </w:t>
            </w:r>
            <w:r w:rsidR="006723CC">
              <w:rPr>
                <w:rFonts w:ascii="Lato" w:hAnsi="Lato"/>
              </w:rPr>
              <w:t>can reasonably not be expected to accept a greater cost risk.</w:t>
            </w:r>
          </w:p>
          <w:p w14:paraId="5CE8DA62" w14:textId="351B7EF6" w:rsidR="00F15596" w:rsidRPr="00B56577" w:rsidRDefault="00F15596"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bl>
    <w:p w14:paraId="7B0C9A01" w14:textId="77777777" w:rsidR="00377B32" w:rsidRDefault="00377B32"/>
    <w:p w14:paraId="0BB5E558" w14:textId="40EF5A26" w:rsidR="00992DEC" w:rsidRPr="00992DEC" w:rsidRDefault="00992DEC" w:rsidP="00992DEC">
      <w:pPr>
        <w:pStyle w:val="Heading2"/>
        <w:spacing w:before="220" w:after="220"/>
        <w:ind w:left="709" w:hanging="709"/>
        <w:rPr>
          <w:rFonts w:ascii="Lato" w:eastAsiaTheme="minorHAnsi" w:hAnsi="Lato" w:cstheme="minorBidi"/>
          <w:bCs w:val="0"/>
          <w:iCs w:val="0"/>
          <w:color w:val="CA005D"/>
          <w:szCs w:val="22"/>
        </w:rPr>
      </w:pPr>
      <w:r w:rsidRPr="00992DEC">
        <w:rPr>
          <w:rFonts w:ascii="Lato" w:eastAsiaTheme="minorHAnsi" w:hAnsi="Lato" w:cstheme="minorBidi"/>
          <w:bCs w:val="0"/>
          <w:iCs w:val="0"/>
          <w:color w:val="CA005D"/>
          <w:szCs w:val="22"/>
        </w:rPr>
        <w:lastRenderedPageBreak/>
        <w:t xml:space="preserve">Questions on the approach to banding under </w:t>
      </w:r>
      <w:r>
        <w:rPr>
          <w:rFonts w:ascii="Lato" w:eastAsiaTheme="minorHAnsi" w:hAnsi="Lato" w:cstheme="minorBidi"/>
          <w:bCs w:val="0"/>
          <w:iCs w:val="0"/>
          <w:color w:val="CA005D"/>
          <w:szCs w:val="22"/>
        </w:rPr>
        <w:t>charging o</w:t>
      </w:r>
      <w:r w:rsidRPr="00992DEC">
        <w:rPr>
          <w:rFonts w:ascii="Lato" w:eastAsiaTheme="minorHAnsi" w:hAnsi="Lato" w:cstheme="minorBidi"/>
          <w:bCs w:val="0"/>
          <w:iCs w:val="0"/>
          <w:color w:val="CA005D"/>
          <w:szCs w:val="22"/>
        </w:rPr>
        <w:t>ption 3</w:t>
      </w:r>
    </w:p>
    <w:tbl>
      <w:tblPr>
        <w:tblStyle w:val="TableTemplate1"/>
        <w:tblW w:w="5000" w:type="pct"/>
        <w:tblLook w:val="04A0" w:firstRow="1" w:lastRow="0" w:firstColumn="1" w:lastColumn="0" w:noHBand="0" w:noVBand="1"/>
      </w:tblPr>
      <w:tblGrid>
        <w:gridCol w:w="1020"/>
        <w:gridCol w:w="1946"/>
        <w:gridCol w:w="10972"/>
      </w:tblGrid>
      <w:tr w:rsidR="009C4A2E" w:rsidRPr="00B56577" w14:paraId="1FD1AB5E" w14:textId="77777777" w:rsidTr="008A7679">
        <w:trPr>
          <w:cnfStyle w:val="100000000000" w:firstRow="1" w:lastRow="0" w:firstColumn="0" w:lastColumn="0" w:oddVBand="0" w:evenVBand="0" w:oddHBand="0" w:evenHBand="0" w:firstRowFirstColumn="0" w:firstRowLastColumn="0" w:lastRowFirstColumn="0" w:lastRowLastColumn="0"/>
          <w:trHeight w:val="58"/>
        </w:trPr>
        <w:tc>
          <w:tcPr>
            <w:cnfStyle w:val="001000000000" w:firstRow="0" w:lastRow="0" w:firstColumn="1" w:lastColumn="0" w:oddVBand="0" w:evenVBand="0" w:oddHBand="0" w:evenHBand="0" w:firstRowFirstColumn="0" w:firstRowLastColumn="0" w:lastRowFirstColumn="0" w:lastRowLastColumn="0"/>
            <w:tcW w:w="366" w:type="pct"/>
            <w:vAlign w:val="top"/>
          </w:tcPr>
          <w:p w14:paraId="224982BF" w14:textId="642FE4EB" w:rsidR="009C4A2E" w:rsidRPr="00B43A8D" w:rsidRDefault="009C4A2E" w:rsidP="009C4A2E">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698" w:type="pct"/>
            <w:vAlign w:val="top"/>
          </w:tcPr>
          <w:p w14:paraId="79299686" w14:textId="3F3897B4" w:rsidR="009C4A2E" w:rsidRPr="00DE5A35" w:rsidRDefault="009C4A2E" w:rsidP="009C4A2E">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3936" w:type="pct"/>
            <w:vAlign w:val="top"/>
          </w:tcPr>
          <w:p w14:paraId="4B809B46" w14:textId="7920A815" w:rsidR="009C4A2E" w:rsidRPr="00B56577" w:rsidRDefault="009C4A2E" w:rsidP="009C4A2E">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9C4A2E" w:rsidRPr="00B56577" w14:paraId="6C89B8D6" w14:textId="77777777" w:rsidTr="008A7679">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5ABA427C" w14:textId="640CC703" w:rsidR="009C4A2E" w:rsidRPr="00B43A8D" w:rsidRDefault="009C4A2E" w:rsidP="009C4A2E">
            <w:pPr>
              <w:pStyle w:val="TableText-Left"/>
              <w:spacing w:line="276" w:lineRule="auto"/>
              <w:jc w:val="center"/>
              <w:rPr>
                <w:rFonts w:ascii="Lato" w:hAnsi="Lato"/>
              </w:rPr>
            </w:pPr>
            <w:r w:rsidRPr="00B43A8D">
              <w:rPr>
                <w:rFonts w:ascii="Lato" w:hAnsi="Lato"/>
                <w:color w:val="auto"/>
              </w:rPr>
              <w:t>Q19</w:t>
            </w:r>
          </w:p>
        </w:tc>
        <w:tc>
          <w:tcPr>
            <w:tcW w:w="698" w:type="pct"/>
            <w:vAlign w:val="center"/>
          </w:tcPr>
          <w:p w14:paraId="369570C1" w14:textId="593B9A7A" w:rsidR="009C4A2E" w:rsidRPr="00B43A8D" w:rsidRDefault="009C4A2E" w:rsidP="009C4A2E">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43A8D">
              <w:rPr>
                <w:rFonts w:ascii="Lato" w:hAnsi="Lato"/>
              </w:rPr>
              <w:t>In your view, how should DCC design bands of fixed charges and should they be the same across all User Categories? You can refer to any of the stylised examples described above to answer this question or propose alternative approaches that you would like DCC to consider.</w:t>
            </w:r>
          </w:p>
        </w:tc>
        <w:tc>
          <w:tcPr>
            <w:tcW w:w="3936" w:type="pct"/>
            <w:vAlign w:val="center"/>
          </w:tcPr>
          <w:p w14:paraId="12AAFB59" w14:textId="79682A60" w:rsidR="000C5FA4" w:rsidRDefault="007C28A7" w:rsidP="007C28A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It maintains the fixed charge principle but introduces </w:t>
            </w:r>
            <w:r w:rsidR="000C5FA4">
              <w:rPr>
                <w:rFonts w:ascii="Lato" w:hAnsi="Lato"/>
              </w:rPr>
              <w:t xml:space="preserve">greater </w:t>
            </w:r>
            <w:r>
              <w:rPr>
                <w:rFonts w:ascii="Lato" w:hAnsi="Lato"/>
              </w:rPr>
              <w:t>additional uncertainty for Users</w:t>
            </w:r>
            <w:r w:rsidR="001F0B55">
              <w:rPr>
                <w:rFonts w:ascii="Lato" w:hAnsi="Lato"/>
              </w:rPr>
              <w:t xml:space="preserve">, dependant on </w:t>
            </w:r>
            <w:r w:rsidR="000C5FA4">
              <w:rPr>
                <w:rFonts w:ascii="Lato" w:hAnsi="Lato"/>
              </w:rPr>
              <w:t>band scaling.</w:t>
            </w:r>
          </w:p>
          <w:p w14:paraId="241D9445" w14:textId="59EF2CE5" w:rsidR="003A2309" w:rsidRDefault="003A2309" w:rsidP="007C28A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It </w:t>
            </w:r>
            <w:r w:rsidR="003906CA">
              <w:rPr>
                <w:rFonts w:ascii="Lato" w:hAnsi="Lato"/>
              </w:rPr>
              <w:t xml:space="preserve">will introduce </w:t>
            </w:r>
            <w:r w:rsidR="006150A6">
              <w:rPr>
                <w:rFonts w:ascii="Lato" w:hAnsi="Lato"/>
              </w:rPr>
              <w:t xml:space="preserve">complexities for any </w:t>
            </w:r>
            <w:r w:rsidR="008D243F">
              <w:rPr>
                <w:rFonts w:ascii="Lato" w:hAnsi="Lato"/>
              </w:rPr>
              <w:t xml:space="preserve">individual user </w:t>
            </w:r>
            <w:r w:rsidR="006150A6">
              <w:rPr>
                <w:rFonts w:ascii="Lato" w:hAnsi="Lato"/>
              </w:rPr>
              <w:t xml:space="preserve">as </w:t>
            </w:r>
            <w:r w:rsidR="00802842">
              <w:rPr>
                <w:rFonts w:ascii="Lato" w:hAnsi="Lato"/>
              </w:rPr>
              <w:t>they will need to monitor and manage the charging band they are in</w:t>
            </w:r>
            <w:r w:rsidR="00502155">
              <w:rPr>
                <w:rFonts w:ascii="Lato" w:hAnsi="Lato"/>
              </w:rPr>
              <w:t xml:space="preserve">, potentially introducing </w:t>
            </w:r>
            <w:r w:rsidR="004E50B6">
              <w:rPr>
                <w:rFonts w:ascii="Lato" w:hAnsi="Lato"/>
              </w:rPr>
              <w:t xml:space="preserve">unnecessary </w:t>
            </w:r>
            <w:r w:rsidR="00502155">
              <w:rPr>
                <w:rFonts w:ascii="Lato" w:hAnsi="Lato"/>
              </w:rPr>
              <w:t xml:space="preserve">conflict between </w:t>
            </w:r>
            <w:r w:rsidR="004E50B6">
              <w:rPr>
                <w:rFonts w:ascii="Lato" w:hAnsi="Lato"/>
              </w:rPr>
              <w:t xml:space="preserve">good </w:t>
            </w:r>
            <w:r w:rsidR="00502155">
              <w:rPr>
                <w:rFonts w:ascii="Lato" w:hAnsi="Lato"/>
              </w:rPr>
              <w:t>customer service and cost management</w:t>
            </w:r>
            <w:r w:rsidR="008D243F">
              <w:rPr>
                <w:rFonts w:ascii="Lato" w:hAnsi="Lato"/>
              </w:rPr>
              <w:t>.</w:t>
            </w:r>
            <w:r w:rsidR="00AB1FDF">
              <w:rPr>
                <w:rFonts w:ascii="Lato" w:hAnsi="Lato"/>
              </w:rPr>
              <w:t xml:space="preserve"> It may encourage inefficient use of the system as </w:t>
            </w:r>
            <w:r w:rsidR="00B33111">
              <w:rPr>
                <w:rFonts w:ascii="Lato" w:hAnsi="Lato"/>
              </w:rPr>
              <w:t xml:space="preserve">Users may choose not to use the system, even if capacity is available but </w:t>
            </w:r>
            <w:r w:rsidR="00E65AF5">
              <w:rPr>
                <w:rFonts w:ascii="Lato" w:hAnsi="Lato"/>
              </w:rPr>
              <w:t>b</w:t>
            </w:r>
            <w:r w:rsidR="00B33111">
              <w:rPr>
                <w:rFonts w:ascii="Lato" w:hAnsi="Lato"/>
              </w:rPr>
              <w:t xml:space="preserve">and limits approach and then </w:t>
            </w:r>
            <w:r w:rsidR="00082B3F">
              <w:rPr>
                <w:rFonts w:ascii="Lato" w:hAnsi="Lato"/>
              </w:rPr>
              <w:t>use the system</w:t>
            </w:r>
            <w:r w:rsidR="00E65AF5">
              <w:rPr>
                <w:rFonts w:ascii="Lato" w:hAnsi="Lato"/>
              </w:rPr>
              <w:t>, possibly also catching up with postponed messaging,</w:t>
            </w:r>
            <w:r w:rsidR="00082B3F">
              <w:rPr>
                <w:rFonts w:ascii="Lato" w:hAnsi="Lato"/>
              </w:rPr>
              <w:t xml:space="preserve"> when a new band period is available.</w:t>
            </w:r>
          </w:p>
          <w:p w14:paraId="1E137C06" w14:textId="178675E9" w:rsidR="009C4A2E" w:rsidRPr="00B56577" w:rsidRDefault="002B632A" w:rsidP="00C038E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The approach </w:t>
            </w:r>
            <w:r w:rsidR="007C28A7">
              <w:rPr>
                <w:rFonts w:ascii="Lato" w:hAnsi="Lato"/>
              </w:rPr>
              <w:t>needs to recognise</w:t>
            </w:r>
            <w:r>
              <w:rPr>
                <w:rFonts w:ascii="Lato" w:hAnsi="Lato"/>
              </w:rPr>
              <w:t xml:space="preserve"> </w:t>
            </w:r>
            <w:r w:rsidR="007C28A7">
              <w:rPr>
                <w:rFonts w:ascii="Lato" w:hAnsi="Lato"/>
              </w:rPr>
              <w:t xml:space="preserve">that Suppliers and </w:t>
            </w:r>
            <w:r w:rsidR="00024444">
              <w:rPr>
                <w:rFonts w:ascii="Lato" w:hAnsi="Lato"/>
              </w:rPr>
              <w:t xml:space="preserve">Network Operators </w:t>
            </w:r>
            <w:r w:rsidR="007C28A7" w:rsidRPr="00B91B48">
              <w:rPr>
                <w:rFonts w:ascii="Lato" w:hAnsi="Lato"/>
              </w:rPr>
              <w:t>are recovering costs on behalf of all stakeholders and, as such, longer term assurance as to funding of this approach is needed for it to be sustainable.</w:t>
            </w:r>
          </w:p>
        </w:tc>
      </w:tr>
      <w:tr w:rsidR="009C4A2E" w:rsidRPr="00B56577" w14:paraId="322679E6" w14:textId="77777777" w:rsidTr="008A7679">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775B3E58" w14:textId="3C17AC8F" w:rsidR="009C4A2E" w:rsidRPr="00B43A8D" w:rsidRDefault="009C4A2E" w:rsidP="009C4A2E">
            <w:pPr>
              <w:pStyle w:val="TableText-Left"/>
              <w:spacing w:line="276" w:lineRule="auto"/>
              <w:jc w:val="center"/>
              <w:rPr>
                <w:rFonts w:ascii="Lato" w:hAnsi="Lato"/>
                <w:color w:val="auto"/>
              </w:rPr>
            </w:pPr>
            <w:r w:rsidRPr="00B43A8D">
              <w:rPr>
                <w:rFonts w:ascii="Lato" w:hAnsi="Lato"/>
                <w:color w:val="auto"/>
              </w:rPr>
              <w:t>Q20</w:t>
            </w:r>
          </w:p>
        </w:tc>
        <w:tc>
          <w:tcPr>
            <w:tcW w:w="698" w:type="pct"/>
            <w:vAlign w:val="center"/>
          </w:tcPr>
          <w:p w14:paraId="0273B44D" w14:textId="580503D6" w:rsidR="009C4A2E" w:rsidRPr="00DE5A35" w:rsidRDefault="009C4A2E" w:rsidP="009C4A2E">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43A8D">
              <w:rPr>
                <w:rFonts w:ascii="Lato" w:hAnsi="Lato"/>
              </w:rPr>
              <w:t xml:space="preserve">What would be a reasonable number of bands to set charges (at least initially)? </w:t>
            </w:r>
          </w:p>
        </w:tc>
        <w:tc>
          <w:tcPr>
            <w:tcW w:w="3936" w:type="pct"/>
            <w:vAlign w:val="center"/>
          </w:tcPr>
          <w:p w14:paraId="2BD8AB0A" w14:textId="26F329F0" w:rsidR="009C4A2E" w:rsidRPr="00B56577" w:rsidRDefault="0004336F"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Bands and charging steps need to be sufficiently </w:t>
            </w:r>
            <w:r w:rsidR="00D01286">
              <w:rPr>
                <w:rFonts w:ascii="Lato" w:hAnsi="Lato"/>
              </w:rPr>
              <w:t xml:space="preserve">small to discourage significant cost or operational </w:t>
            </w:r>
            <w:r w:rsidR="00CA1099">
              <w:rPr>
                <w:rFonts w:ascii="Lato" w:hAnsi="Lato"/>
              </w:rPr>
              <w:t xml:space="preserve">impact when transitioning otherwise </w:t>
            </w:r>
            <w:r w:rsidR="00A55494">
              <w:rPr>
                <w:rFonts w:ascii="Lato" w:hAnsi="Lato"/>
              </w:rPr>
              <w:t>there could be unpredictable behaviour detrimental to utilising the system efficiently.</w:t>
            </w:r>
          </w:p>
        </w:tc>
      </w:tr>
      <w:tr w:rsidR="009C4A2E" w:rsidRPr="00B56577" w14:paraId="1F6A6E26" w14:textId="77777777" w:rsidTr="008A7679">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02C79ED7" w14:textId="146C288A" w:rsidR="009C4A2E" w:rsidRPr="00B43A8D" w:rsidRDefault="009C4A2E" w:rsidP="009C4A2E">
            <w:pPr>
              <w:pStyle w:val="TableText-Left"/>
              <w:spacing w:line="276" w:lineRule="auto"/>
              <w:jc w:val="center"/>
              <w:rPr>
                <w:rFonts w:ascii="Lato" w:hAnsi="Lato"/>
                <w:color w:val="auto"/>
              </w:rPr>
            </w:pPr>
            <w:r w:rsidRPr="00B43A8D">
              <w:rPr>
                <w:rFonts w:ascii="Lato" w:hAnsi="Lato"/>
                <w:color w:val="auto"/>
              </w:rPr>
              <w:lastRenderedPageBreak/>
              <w:t>Q21</w:t>
            </w:r>
          </w:p>
        </w:tc>
        <w:tc>
          <w:tcPr>
            <w:tcW w:w="698" w:type="pct"/>
            <w:vAlign w:val="center"/>
          </w:tcPr>
          <w:p w14:paraId="3F2541D2" w14:textId="537103A1" w:rsidR="009C4A2E" w:rsidRPr="00DE5A35" w:rsidRDefault="009C4A2E" w:rsidP="009C4A2E">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43A8D">
              <w:rPr>
                <w:rFonts w:ascii="Lato" w:hAnsi="Lato"/>
              </w:rPr>
              <w:t>How should the differential of charges between bands be determined?</w:t>
            </w:r>
          </w:p>
        </w:tc>
        <w:tc>
          <w:tcPr>
            <w:tcW w:w="3936" w:type="pct"/>
            <w:vAlign w:val="center"/>
          </w:tcPr>
          <w:p w14:paraId="2DDA42F1" w14:textId="77777777" w:rsidR="00BC6213" w:rsidRPr="00B56577" w:rsidRDefault="00BC6213" w:rsidP="00BC6213">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We have insufficient information to offer a view on this.  The DCC should make proposals as part of their licence charging methodology review.</w:t>
            </w:r>
          </w:p>
          <w:p w14:paraId="135ADA03" w14:textId="2B4DC9CA" w:rsidR="009C4A2E" w:rsidRPr="00B56577" w:rsidRDefault="009C4A2E"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bl>
    <w:p w14:paraId="22E33468" w14:textId="77777777" w:rsidR="00675CD5" w:rsidRDefault="00675CD5"/>
    <w:p w14:paraId="49AA92D4" w14:textId="009A4BC4" w:rsidR="00675CD5" w:rsidRPr="00675CD5" w:rsidRDefault="00675CD5" w:rsidP="00675CD5">
      <w:pPr>
        <w:pStyle w:val="Heading2"/>
        <w:spacing w:before="220" w:after="220"/>
        <w:ind w:left="709" w:hanging="709"/>
        <w:rPr>
          <w:rFonts w:ascii="Lato" w:eastAsiaTheme="minorHAnsi" w:hAnsi="Lato" w:cstheme="minorBidi"/>
          <w:bCs w:val="0"/>
          <w:iCs w:val="0"/>
          <w:color w:val="CA005D"/>
          <w:szCs w:val="22"/>
        </w:rPr>
      </w:pPr>
      <w:r w:rsidRPr="00A90540">
        <w:rPr>
          <w:rFonts w:ascii="Lato" w:eastAsiaTheme="minorHAnsi" w:hAnsi="Lato" w:cstheme="minorBidi"/>
          <w:bCs w:val="0"/>
          <w:iCs w:val="0"/>
          <w:color w:val="CA005D"/>
          <w:szCs w:val="22"/>
        </w:rPr>
        <w:t xml:space="preserve">Questions on charging option </w:t>
      </w:r>
      <w:r>
        <w:rPr>
          <w:rFonts w:ascii="Lato" w:eastAsiaTheme="minorHAnsi" w:hAnsi="Lato" w:cstheme="minorBidi"/>
          <w:bCs w:val="0"/>
          <w:iCs w:val="0"/>
          <w:color w:val="CA005D"/>
          <w:szCs w:val="22"/>
        </w:rPr>
        <w:t>3</w:t>
      </w:r>
    </w:p>
    <w:tbl>
      <w:tblPr>
        <w:tblStyle w:val="TableTemplate1"/>
        <w:tblW w:w="5000" w:type="pct"/>
        <w:tblLook w:val="04A0" w:firstRow="1" w:lastRow="0" w:firstColumn="1" w:lastColumn="0" w:noHBand="0" w:noVBand="1"/>
      </w:tblPr>
      <w:tblGrid>
        <w:gridCol w:w="1021"/>
        <w:gridCol w:w="1806"/>
        <w:gridCol w:w="11111"/>
      </w:tblGrid>
      <w:tr w:rsidR="00675CD5" w:rsidRPr="00B56577" w14:paraId="4D357FAC" w14:textId="77777777" w:rsidTr="008A7679">
        <w:trPr>
          <w:cnfStyle w:val="100000000000" w:firstRow="1" w:lastRow="0" w:firstColumn="0" w:lastColumn="0" w:oddVBand="0" w:evenVBand="0" w:oddHBand="0" w:evenHBand="0" w:firstRowFirstColumn="0" w:firstRowLastColumn="0" w:lastRowFirstColumn="0" w:lastRowLastColumn="0"/>
          <w:trHeight w:val="171"/>
        </w:trPr>
        <w:tc>
          <w:tcPr>
            <w:cnfStyle w:val="001000000000" w:firstRow="0" w:lastRow="0" w:firstColumn="1" w:lastColumn="0" w:oddVBand="0" w:evenVBand="0" w:oddHBand="0" w:evenHBand="0" w:firstRowFirstColumn="0" w:firstRowLastColumn="0" w:lastRowFirstColumn="0" w:lastRowLastColumn="0"/>
            <w:tcW w:w="366" w:type="pct"/>
            <w:vAlign w:val="top"/>
          </w:tcPr>
          <w:p w14:paraId="71211753" w14:textId="40305245" w:rsidR="00675CD5" w:rsidRPr="00A85762" w:rsidRDefault="00675CD5" w:rsidP="00675CD5">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648" w:type="pct"/>
            <w:vAlign w:val="top"/>
          </w:tcPr>
          <w:p w14:paraId="1D88C8E2" w14:textId="25449BCC" w:rsidR="00675CD5" w:rsidRPr="00B43A8D" w:rsidRDefault="00675CD5" w:rsidP="00675CD5">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3987" w:type="pct"/>
            <w:vAlign w:val="top"/>
          </w:tcPr>
          <w:p w14:paraId="238F5826" w14:textId="5419B6C0" w:rsidR="00675CD5" w:rsidRPr="00B56577" w:rsidRDefault="00675CD5" w:rsidP="00675CD5">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675CD5" w:rsidRPr="00B56577" w14:paraId="1732DA61" w14:textId="77777777" w:rsidTr="008A7679">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37C0763D" w14:textId="19FDD6B9" w:rsidR="00675CD5" w:rsidRPr="00A85762" w:rsidRDefault="00675CD5" w:rsidP="00675CD5">
            <w:pPr>
              <w:pStyle w:val="TableText-Left"/>
              <w:spacing w:line="276" w:lineRule="auto"/>
              <w:jc w:val="center"/>
              <w:rPr>
                <w:rFonts w:ascii="Lato" w:hAnsi="Lato"/>
              </w:rPr>
            </w:pPr>
            <w:r w:rsidRPr="00A85762">
              <w:rPr>
                <w:rFonts w:ascii="Lato" w:hAnsi="Lato"/>
                <w:color w:val="auto"/>
              </w:rPr>
              <w:t>Q22</w:t>
            </w:r>
          </w:p>
        </w:tc>
        <w:tc>
          <w:tcPr>
            <w:tcW w:w="648" w:type="pct"/>
            <w:vAlign w:val="center"/>
          </w:tcPr>
          <w:p w14:paraId="6D84E49D" w14:textId="3A233699" w:rsidR="00675CD5" w:rsidRPr="00A85762" w:rsidRDefault="00675CD5" w:rsidP="00675CD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A85762">
              <w:rPr>
                <w:rFonts w:ascii="Lato" w:hAnsi="Lato"/>
              </w:rPr>
              <w:t xml:space="preserve">Do you agree with our initial assessment </w:t>
            </w:r>
            <w:r w:rsidRPr="00FB6C2F">
              <w:rPr>
                <w:rFonts w:ascii="Lato" w:hAnsi="Lato"/>
              </w:rPr>
              <w:t xml:space="preserve">of the impact of </w:t>
            </w:r>
            <w:r w:rsidRPr="00A85762">
              <w:rPr>
                <w:rFonts w:ascii="Lato" w:hAnsi="Lato"/>
              </w:rPr>
              <w:t>charging option</w:t>
            </w:r>
            <w:r>
              <w:rPr>
                <w:rFonts w:ascii="Lato" w:hAnsi="Lato"/>
              </w:rPr>
              <w:t xml:space="preserve"> 3</w:t>
            </w:r>
            <w:r w:rsidRPr="00A85762">
              <w:rPr>
                <w:rFonts w:ascii="Lato" w:hAnsi="Lato"/>
              </w:rPr>
              <w:t xml:space="preserve">? </w:t>
            </w:r>
          </w:p>
        </w:tc>
        <w:tc>
          <w:tcPr>
            <w:tcW w:w="3987" w:type="pct"/>
            <w:vAlign w:val="center"/>
          </w:tcPr>
          <w:p w14:paraId="30C81901" w14:textId="1E7AA8E6" w:rsidR="00BC6213" w:rsidRPr="00B56577" w:rsidRDefault="00BC6213" w:rsidP="00BC6213">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We have insufficient information to offer a view on this</w:t>
            </w:r>
            <w:r w:rsidR="00C4572A">
              <w:rPr>
                <w:rFonts w:ascii="Lato" w:hAnsi="Lato"/>
              </w:rPr>
              <w:t>. This option would trigger a wholesale review of the charging methodology for all DCC users as we recommend should be part of the DCC annual review of charging methodology RY 2024/25 once the DCC has more than 12 months</w:t>
            </w:r>
            <w:r w:rsidR="008D0074">
              <w:rPr>
                <w:rFonts w:ascii="Lato" w:hAnsi="Lato"/>
              </w:rPr>
              <w:t>’</w:t>
            </w:r>
            <w:r w:rsidR="00C4572A">
              <w:rPr>
                <w:rFonts w:ascii="Lato" w:hAnsi="Lato"/>
              </w:rPr>
              <w:t xml:space="preserve"> worth of data from DCC Users (e.g. Electricity Distributors). </w:t>
            </w:r>
            <w:r>
              <w:rPr>
                <w:rFonts w:ascii="Lato" w:hAnsi="Lato"/>
              </w:rPr>
              <w:t>Refer to our responses to Q1 and Q13.</w:t>
            </w:r>
          </w:p>
          <w:p w14:paraId="5438A784" w14:textId="660E14AF" w:rsidR="000D2094" w:rsidRPr="00B56577" w:rsidRDefault="000D2094" w:rsidP="000D2094">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1E434ECD" w14:textId="56D1CE84" w:rsidR="00675CD5" w:rsidRPr="00B56577" w:rsidRDefault="00675CD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r w:rsidR="00675CD5" w:rsidRPr="00B56577" w14:paraId="29DD53EC" w14:textId="77777777" w:rsidTr="008A7679">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FBF0CE5" w14:textId="0E276330" w:rsidR="00675CD5" w:rsidRPr="00A85762" w:rsidRDefault="00675CD5" w:rsidP="00675CD5">
            <w:pPr>
              <w:pStyle w:val="TableText-Left"/>
              <w:spacing w:line="276" w:lineRule="auto"/>
              <w:jc w:val="center"/>
              <w:rPr>
                <w:rFonts w:ascii="Lato" w:hAnsi="Lato"/>
                <w:color w:val="auto"/>
              </w:rPr>
            </w:pPr>
            <w:r w:rsidRPr="00A85762">
              <w:rPr>
                <w:rFonts w:ascii="Lato" w:hAnsi="Lato"/>
                <w:color w:val="auto"/>
              </w:rPr>
              <w:t>Q23</w:t>
            </w:r>
          </w:p>
        </w:tc>
        <w:tc>
          <w:tcPr>
            <w:tcW w:w="648" w:type="pct"/>
            <w:vAlign w:val="center"/>
          </w:tcPr>
          <w:p w14:paraId="7F5E6BD4" w14:textId="0D877E17" w:rsidR="00675CD5" w:rsidRPr="00B43A8D" w:rsidRDefault="00675CD5" w:rsidP="00675CD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A85762">
              <w:rPr>
                <w:rFonts w:ascii="Lato" w:hAnsi="Lato"/>
              </w:rPr>
              <w:t>Are there any other impacts or design considerations that should be captured</w:t>
            </w:r>
            <w:r>
              <w:rPr>
                <w:rFonts w:ascii="Lato" w:hAnsi="Lato"/>
              </w:rPr>
              <w:t xml:space="preserve"> under charging option 3</w:t>
            </w:r>
            <w:r w:rsidRPr="00A85762">
              <w:rPr>
                <w:rFonts w:ascii="Lato" w:hAnsi="Lato"/>
              </w:rPr>
              <w:t>?</w:t>
            </w:r>
          </w:p>
        </w:tc>
        <w:tc>
          <w:tcPr>
            <w:tcW w:w="3987" w:type="pct"/>
            <w:vAlign w:val="center"/>
          </w:tcPr>
          <w:p w14:paraId="09748A9E" w14:textId="77777777" w:rsidR="00507397" w:rsidRPr="00B56577" w:rsidRDefault="00507397" w:rsidP="0050739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We have insufficient information to offer a view on this.  The DCC should make proposals as part of their licence charging methodology review.</w:t>
            </w:r>
          </w:p>
          <w:p w14:paraId="5D5E8EB7" w14:textId="710D08EB" w:rsidR="000D2094" w:rsidRPr="00B56577" w:rsidRDefault="000D2094" w:rsidP="000D2094">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645B9E86" w14:textId="145CE698" w:rsidR="00675CD5" w:rsidRPr="00B56577" w:rsidRDefault="00675CD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r w:rsidR="00675CD5" w:rsidRPr="00B56577" w14:paraId="24D81258" w14:textId="77777777" w:rsidTr="008A7679">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B334419" w14:textId="222B569D" w:rsidR="00675CD5" w:rsidRPr="00A85762" w:rsidRDefault="00675CD5" w:rsidP="00675CD5">
            <w:pPr>
              <w:pStyle w:val="TableText-Left"/>
              <w:spacing w:line="276" w:lineRule="auto"/>
              <w:jc w:val="center"/>
              <w:rPr>
                <w:rFonts w:ascii="Lato" w:hAnsi="Lato"/>
                <w:color w:val="auto"/>
              </w:rPr>
            </w:pPr>
            <w:r w:rsidRPr="00A85762">
              <w:rPr>
                <w:rFonts w:ascii="Lato" w:hAnsi="Lato"/>
                <w:color w:val="auto"/>
              </w:rPr>
              <w:lastRenderedPageBreak/>
              <w:t>Q24</w:t>
            </w:r>
          </w:p>
        </w:tc>
        <w:tc>
          <w:tcPr>
            <w:tcW w:w="648" w:type="pct"/>
            <w:vAlign w:val="center"/>
          </w:tcPr>
          <w:p w14:paraId="18C82EA7" w14:textId="2C3C9003" w:rsidR="00675CD5" w:rsidRPr="00B43A8D" w:rsidRDefault="009616E1" w:rsidP="00675CD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9616E1">
              <w:rPr>
                <w:rFonts w:ascii="Lato" w:hAnsi="Lato"/>
              </w:rPr>
              <w:t>Do you have any comments on the costs your organisation may incur in implementing charging option 3</w:t>
            </w:r>
            <w:r w:rsidR="00675CD5" w:rsidRPr="00A85762">
              <w:rPr>
                <w:rFonts w:ascii="Lato" w:hAnsi="Lato"/>
              </w:rPr>
              <w:t xml:space="preserve">? </w:t>
            </w:r>
          </w:p>
        </w:tc>
        <w:tc>
          <w:tcPr>
            <w:tcW w:w="3987" w:type="pct"/>
            <w:vAlign w:val="center"/>
          </w:tcPr>
          <w:p w14:paraId="52B27FA7" w14:textId="1FE45742" w:rsidR="00675CD5" w:rsidRPr="00B56577" w:rsidRDefault="00962EA6"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This will depend on the band and charging structure</w:t>
            </w:r>
            <w:r w:rsidR="00152D1C">
              <w:rPr>
                <w:rFonts w:ascii="Lato" w:hAnsi="Lato"/>
              </w:rPr>
              <w:t xml:space="preserve"> and any additional automation required to </w:t>
            </w:r>
            <w:r w:rsidR="00757FC8">
              <w:rPr>
                <w:rFonts w:ascii="Lato" w:hAnsi="Lato"/>
              </w:rPr>
              <w:t>man</w:t>
            </w:r>
            <w:r w:rsidR="000B1AB2">
              <w:rPr>
                <w:rFonts w:ascii="Lato" w:hAnsi="Lato"/>
              </w:rPr>
              <w:t>a</w:t>
            </w:r>
            <w:r w:rsidR="00757FC8">
              <w:rPr>
                <w:rFonts w:ascii="Lato" w:hAnsi="Lato"/>
              </w:rPr>
              <w:t>ge risk.</w:t>
            </w:r>
          </w:p>
        </w:tc>
      </w:tr>
    </w:tbl>
    <w:p w14:paraId="035D93B0" w14:textId="77777777" w:rsidR="00D7442C" w:rsidRDefault="00D7442C"/>
    <w:p w14:paraId="1E95738E" w14:textId="1A2D2D1E" w:rsidR="00D7442C" w:rsidRPr="008678B6" w:rsidRDefault="008678B6" w:rsidP="008678B6">
      <w:pPr>
        <w:pStyle w:val="Heading2"/>
        <w:spacing w:before="220" w:after="220"/>
        <w:ind w:left="709" w:hanging="709"/>
        <w:rPr>
          <w:rFonts w:ascii="Lato" w:eastAsiaTheme="minorHAnsi" w:hAnsi="Lato" w:cstheme="minorBidi"/>
          <w:bCs w:val="0"/>
          <w:iCs w:val="0"/>
          <w:color w:val="CA005D"/>
          <w:szCs w:val="22"/>
        </w:rPr>
      </w:pPr>
      <w:r w:rsidRPr="00A90540">
        <w:rPr>
          <w:rFonts w:ascii="Lato" w:eastAsiaTheme="minorHAnsi" w:hAnsi="Lato" w:cstheme="minorBidi"/>
          <w:bCs w:val="0"/>
          <w:iCs w:val="0"/>
          <w:color w:val="CA005D"/>
          <w:szCs w:val="22"/>
        </w:rPr>
        <w:lastRenderedPageBreak/>
        <w:t xml:space="preserve">Questions on charging option </w:t>
      </w:r>
      <w:r>
        <w:rPr>
          <w:rFonts w:ascii="Lato" w:eastAsiaTheme="minorHAnsi" w:hAnsi="Lato" w:cstheme="minorBidi"/>
          <w:bCs w:val="0"/>
          <w:iCs w:val="0"/>
          <w:color w:val="CA005D"/>
          <w:szCs w:val="22"/>
        </w:rPr>
        <w:t>4</w:t>
      </w:r>
    </w:p>
    <w:tbl>
      <w:tblPr>
        <w:tblStyle w:val="TableTemplate1"/>
        <w:tblW w:w="5000" w:type="pct"/>
        <w:tblLook w:val="04A0" w:firstRow="1" w:lastRow="0" w:firstColumn="1" w:lastColumn="0" w:noHBand="0" w:noVBand="1"/>
      </w:tblPr>
      <w:tblGrid>
        <w:gridCol w:w="1020"/>
        <w:gridCol w:w="1946"/>
        <w:gridCol w:w="10972"/>
      </w:tblGrid>
      <w:tr w:rsidR="00D7442C" w:rsidRPr="00B56577" w14:paraId="0237AD25" w14:textId="77777777" w:rsidTr="008A7679">
        <w:trPr>
          <w:cnfStyle w:val="100000000000" w:firstRow="1" w:lastRow="0" w:firstColumn="0" w:lastColumn="0" w:oddVBand="0" w:evenVBand="0" w:oddHBand="0" w:evenHBand="0" w:firstRowFirstColumn="0" w:firstRowLastColumn="0" w:lastRowFirstColumn="0" w:lastRowLastColumn="0"/>
          <w:trHeight w:val="122"/>
        </w:trPr>
        <w:tc>
          <w:tcPr>
            <w:cnfStyle w:val="001000000000" w:firstRow="0" w:lastRow="0" w:firstColumn="1" w:lastColumn="0" w:oddVBand="0" w:evenVBand="0" w:oddHBand="0" w:evenHBand="0" w:firstRowFirstColumn="0" w:firstRowLastColumn="0" w:lastRowFirstColumn="0" w:lastRowLastColumn="0"/>
            <w:tcW w:w="366" w:type="pct"/>
            <w:vAlign w:val="top"/>
          </w:tcPr>
          <w:p w14:paraId="6D8C411C" w14:textId="16EEAB65" w:rsidR="00D7442C" w:rsidRPr="00CA1679" w:rsidRDefault="00D7442C" w:rsidP="00D7442C">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698" w:type="pct"/>
            <w:vAlign w:val="top"/>
          </w:tcPr>
          <w:p w14:paraId="38AABD8B" w14:textId="5D320BCB" w:rsidR="00D7442C" w:rsidRPr="00A85762" w:rsidRDefault="00D7442C" w:rsidP="00D7442C">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3936" w:type="pct"/>
            <w:vAlign w:val="top"/>
          </w:tcPr>
          <w:p w14:paraId="09364668" w14:textId="63FB5D3C" w:rsidR="00D7442C" w:rsidRPr="00B56577" w:rsidRDefault="00D7442C" w:rsidP="00D7442C">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D7442C" w:rsidRPr="00B56577" w14:paraId="2E7FCD4F" w14:textId="77777777" w:rsidTr="008A7679">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5C806B98" w14:textId="0E2212E0" w:rsidR="00D7442C" w:rsidRPr="00CA1679" w:rsidRDefault="00D7442C" w:rsidP="00D7442C">
            <w:pPr>
              <w:pStyle w:val="TableText-Left"/>
              <w:spacing w:line="276" w:lineRule="auto"/>
              <w:jc w:val="center"/>
              <w:rPr>
                <w:rFonts w:ascii="Lato" w:hAnsi="Lato"/>
              </w:rPr>
            </w:pPr>
            <w:r w:rsidRPr="00CA1679">
              <w:rPr>
                <w:rFonts w:ascii="Lato" w:hAnsi="Lato"/>
                <w:color w:val="auto"/>
              </w:rPr>
              <w:t>Q25</w:t>
            </w:r>
          </w:p>
        </w:tc>
        <w:tc>
          <w:tcPr>
            <w:tcW w:w="698" w:type="pct"/>
            <w:vAlign w:val="center"/>
          </w:tcPr>
          <w:p w14:paraId="45AC9BB5" w14:textId="4C3ACF86" w:rsidR="00D7442C" w:rsidRPr="00FB6C2F" w:rsidRDefault="00D7442C" w:rsidP="00D7442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B6C2F">
              <w:rPr>
                <w:rFonts w:ascii="Lato" w:hAnsi="Lato"/>
              </w:rPr>
              <w:t>Do you agree with our initial assessment of the impact of charging option</w:t>
            </w:r>
            <w:r>
              <w:rPr>
                <w:rFonts w:ascii="Lato" w:hAnsi="Lato"/>
              </w:rPr>
              <w:t xml:space="preserve"> 4</w:t>
            </w:r>
            <w:r w:rsidRPr="00FB6C2F">
              <w:rPr>
                <w:rFonts w:ascii="Lato" w:hAnsi="Lato"/>
              </w:rPr>
              <w:t xml:space="preserve">? </w:t>
            </w:r>
          </w:p>
        </w:tc>
        <w:tc>
          <w:tcPr>
            <w:tcW w:w="3936" w:type="pct"/>
            <w:vAlign w:val="center"/>
          </w:tcPr>
          <w:p w14:paraId="249B9505" w14:textId="0E7D70A4" w:rsidR="007B18DD" w:rsidRPr="00B56577" w:rsidRDefault="00507397" w:rsidP="0050739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have insufficient information to offer </w:t>
            </w:r>
            <w:r w:rsidR="00D57344">
              <w:rPr>
                <w:rFonts w:ascii="Lato" w:hAnsi="Lato"/>
              </w:rPr>
              <w:t xml:space="preserve">agreement or not </w:t>
            </w:r>
            <w:r>
              <w:rPr>
                <w:rFonts w:ascii="Lato" w:hAnsi="Lato"/>
              </w:rPr>
              <w:t>on this</w:t>
            </w:r>
            <w:r w:rsidR="00D57344">
              <w:rPr>
                <w:rFonts w:ascii="Lato" w:hAnsi="Lato"/>
              </w:rPr>
              <w:t xml:space="preserve"> option.</w:t>
            </w:r>
            <w:r w:rsidR="007B18DD">
              <w:rPr>
                <w:rFonts w:ascii="Lato" w:hAnsi="Lato"/>
              </w:rPr>
              <w:t xml:space="preserve"> </w:t>
            </w:r>
            <w:r w:rsidR="007F1365">
              <w:rPr>
                <w:rFonts w:ascii="Lato" w:hAnsi="Lato"/>
              </w:rPr>
              <w:t xml:space="preserve">This option would trigger a wholesale review of the charging methodology for all DCC </w:t>
            </w:r>
            <w:proofErr w:type="gramStart"/>
            <w:r w:rsidR="007F1365">
              <w:rPr>
                <w:rFonts w:ascii="Lato" w:hAnsi="Lato"/>
              </w:rPr>
              <w:t>users</w:t>
            </w:r>
            <w:proofErr w:type="gramEnd"/>
            <w:r w:rsidR="007F1365">
              <w:rPr>
                <w:rFonts w:ascii="Lato" w:hAnsi="Lato"/>
              </w:rPr>
              <w:t xml:space="preserve"> a</w:t>
            </w:r>
            <w:r w:rsidR="00C003B5">
              <w:rPr>
                <w:rFonts w:ascii="Lato" w:hAnsi="Lato"/>
              </w:rPr>
              <w:t>nd</w:t>
            </w:r>
            <w:r w:rsidR="007F1365">
              <w:rPr>
                <w:rFonts w:ascii="Lato" w:hAnsi="Lato"/>
              </w:rPr>
              <w:t xml:space="preserve"> we recommend should be part of the DCC annual review of charging methodology RY 2024/25 once the DCC has more than 12 months</w:t>
            </w:r>
            <w:r w:rsidR="00C003B5">
              <w:rPr>
                <w:rFonts w:ascii="Lato" w:hAnsi="Lato"/>
              </w:rPr>
              <w:t>’</w:t>
            </w:r>
            <w:r w:rsidR="007F1365">
              <w:rPr>
                <w:rFonts w:ascii="Lato" w:hAnsi="Lato"/>
              </w:rPr>
              <w:t xml:space="preserve"> worth of data from DCC Users (e.g. Electricity Distributors). Refer to our responses to Q1 and Q13.</w:t>
            </w:r>
          </w:p>
          <w:p w14:paraId="5D464EA3" w14:textId="65111D4D" w:rsidR="00757FC8" w:rsidRDefault="00450746" w:rsidP="00757FC8">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The principles of this option are </w:t>
            </w:r>
            <w:r w:rsidR="00886C8F">
              <w:rPr>
                <w:rFonts w:ascii="Lato" w:hAnsi="Lato"/>
              </w:rPr>
              <w:t>little different to option 3 in that there will be an element of fixed charge and variable charge</w:t>
            </w:r>
            <w:r w:rsidR="00D13BEA">
              <w:rPr>
                <w:rFonts w:ascii="Lato" w:hAnsi="Lato"/>
              </w:rPr>
              <w:t>. It is not clear how the actual level of overall charges might be different for Users.</w:t>
            </w:r>
          </w:p>
          <w:p w14:paraId="369A7F4C" w14:textId="77777777" w:rsidR="00D13BEA" w:rsidRDefault="00D13BEA" w:rsidP="00757FC8">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7A753F57" w14:textId="7D5707D6" w:rsidR="00B8000B" w:rsidRPr="00031009" w:rsidRDefault="006217DA" w:rsidP="00757FC8">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It also introduces the concept of charging for </w:t>
            </w:r>
            <w:r w:rsidR="005B00D1">
              <w:rPr>
                <w:rFonts w:ascii="Lato" w:hAnsi="Lato"/>
              </w:rPr>
              <w:t>service request</w:t>
            </w:r>
            <w:r>
              <w:rPr>
                <w:rFonts w:ascii="Lato" w:hAnsi="Lato"/>
              </w:rPr>
              <w:t xml:space="preserve"> type</w:t>
            </w:r>
            <w:r w:rsidR="005C1D95">
              <w:rPr>
                <w:rFonts w:ascii="Lato" w:hAnsi="Lato"/>
              </w:rPr>
              <w:t xml:space="preserve"> with </w:t>
            </w:r>
            <w:r w:rsidR="004E01F0">
              <w:rPr>
                <w:rFonts w:ascii="Lato" w:hAnsi="Lato"/>
              </w:rPr>
              <w:t>on-demand</w:t>
            </w:r>
            <w:r w:rsidR="005C1D95">
              <w:rPr>
                <w:rFonts w:ascii="Lato" w:hAnsi="Lato"/>
              </w:rPr>
              <w:t xml:space="preserve"> ones being char</w:t>
            </w:r>
            <w:r w:rsidR="004E01F0">
              <w:rPr>
                <w:rFonts w:ascii="Lato" w:hAnsi="Lato"/>
              </w:rPr>
              <w:t>g</w:t>
            </w:r>
            <w:r w:rsidR="005C1D95">
              <w:rPr>
                <w:rFonts w:ascii="Lato" w:hAnsi="Lato"/>
              </w:rPr>
              <w:t xml:space="preserve">ed at a higher rate than </w:t>
            </w:r>
            <w:r w:rsidR="004E01F0">
              <w:rPr>
                <w:rFonts w:ascii="Lato" w:hAnsi="Lato"/>
              </w:rPr>
              <w:t xml:space="preserve">scheduled. </w:t>
            </w:r>
            <w:r w:rsidR="009925F2">
              <w:rPr>
                <w:rFonts w:ascii="Lato" w:hAnsi="Lato"/>
              </w:rPr>
              <w:t xml:space="preserve">As a </w:t>
            </w:r>
            <w:r w:rsidR="0028508E">
              <w:rPr>
                <w:rFonts w:ascii="Lato" w:hAnsi="Lato"/>
              </w:rPr>
              <w:t xml:space="preserve">Network Operator </w:t>
            </w:r>
            <w:r w:rsidR="009925F2">
              <w:rPr>
                <w:rFonts w:ascii="Lato" w:hAnsi="Lato"/>
              </w:rPr>
              <w:t>user</w:t>
            </w:r>
            <w:r w:rsidR="00BC09AE">
              <w:rPr>
                <w:rFonts w:ascii="Lato" w:hAnsi="Lato"/>
              </w:rPr>
              <w:t xml:space="preserve">, some activity cannot be scheduled, placing us at an immediate disadvantage. </w:t>
            </w:r>
            <w:r w:rsidR="00B8000B">
              <w:rPr>
                <w:rFonts w:ascii="Lato" w:hAnsi="Lato"/>
              </w:rPr>
              <w:t xml:space="preserve">For example, </w:t>
            </w:r>
            <w:r w:rsidR="009925F2">
              <w:rPr>
                <w:rFonts w:ascii="Lato" w:hAnsi="Lato"/>
              </w:rPr>
              <w:t xml:space="preserve">SRV7.4 </w:t>
            </w:r>
            <w:r w:rsidR="00B8000B">
              <w:rPr>
                <w:rFonts w:ascii="Lato" w:hAnsi="Lato"/>
              </w:rPr>
              <w:t xml:space="preserve">is used </w:t>
            </w:r>
            <w:r w:rsidR="008A216F">
              <w:rPr>
                <w:rFonts w:ascii="Lato" w:hAnsi="Lato"/>
              </w:rPr>
              <w:t>during power outage management</w:t>
            </w:r>
            <w:r w:rsidR="00B8000B">
              <w:rPr>
                <w:rFonts w:ascii="Lato" w:hAnsi="Lato"/>
              </w:rPr>
              <w:t xml:space="preserve"> to assis</w:t>
            </w:r>
            <w:r w:rsidR="00D0280B">
              <w:rPr>
                <w:rFonts w:ascii="Lato" w:hAnsi="Lato"/>
              </w:rPr>
              <w:t>t</w:t>
            </w:r>
            <w:r w:rsidR="00B8000B">
              <w:rPr>
                <w:rFonts w:ascii="Lato" w:hAnsi="Lato"/>
              </w:rPr>
              <w:t xml:space="preserve"> in the restoration of supplies and is only useful as an on-demand service.</w:t>
            </w:r>
            <w:r w:rsidR="0012502F">
              <w:rPr>
                <w:rFonts w:ascii="Lato" w:hAnsi="Lato"/>
              </w:rPr>
              <w:t xml:space="preserve"> It also introduces the concept of time-of-day charging. </w:t>
            </w:r>
            <w:r w:rsidR="00583DDA" w:rsidRPr="00031009">
              <w:rPr>
                <w:rFonts w:ascii="Lato" w:hAnsi="Lato"/>
              </w:rPr>
              <w:t>This too would disadvantage us as we must respond immediately to power outage events</w:t>
            </w:r>
            <w:r w:rsidR="00492085" w:rsidRPr="00031009">
              <w:rPr>
                <w:rFonts w:ascii="Lato" w:hAnsi="Lato"/>
              </w:rPr>
              <w:t>, no matter what time of day they occur.</w:t>
            </w:r>
          </w:p>
          <w:p w14:paraId="0DE94B43" w14:textId="77777777" w:rsidR="00D7442C" w:rsidRPr="00031009" w:rsidRDefault="00CD15CB" w:rsidP="00115E6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031009">
              <w:rPr>
                <w:rFonts w:ascii="Lato" w:hAnsi="Lato"/>
              </w:rPr>
              <w:t xml:space="preserve">The concept of charging for message size is raised. </w:t>
            </w:r>
            <w:r w:rsidR="00317189" w:rsidRPr="00031009">
              <w:rPr>
                <w:rFonts w:ascii="Lato" w:hAnsi="Lato"/>
              </w:rPr>
              <w:t xml:space="preserve">This </w:t>
            </w:r>
            <w:r w:rsidR="00722E7A" w:rsidRPr="00031009">
              <w:rPr>
                <w:rFonts w:ascii="Lato" w:hAnsi="Lato"/>
              </w:rPr>
              <w:t xml:space="preserve">seems </w:t>
            </w:r>
            <w:r w:rsidR="00115E6C" w:rsidRPr="00031009">
              <w:rPr>
                <w:rFonts w:ascii="Lato" w:hAnsi="Lato"/>
              </w:rPr>
              <w:t xml:space="preserve">an </w:t>
            </w:r>
            <w:r w:rsidR="00722E7A" w:rsidRPr="00031009">
              <w:rPr>
                <w:rFonts w:ascii="Lato" w:hAnsi="Lato"/>
              </w:rPr>
              <w:t>impractical</w:t>
            </w:r>
            <w:r w:rsidR="000F3AF8" w:rsidRPr="00031009">
              <w:rPr>
                <w:rFonts w:ascii="Lato" w:hAnsi="Lato"/>
              </w:rPr>
              <w:t xml:space="preserve"> </w:t>
            </w:r>
            <w:r w:rsidR="00115E6C" w:rsidRPr="00031009">
              <w:rPr>
                <w:rFonts w:ascii="Lato" w:hAnsi="Lato"/>
              </w:rPr>
              <w:t xml:space="preserve">option </w:t>
            </w:r>
            <w:r w:rsidR="000F3AF8" w:rsidRPr="00031009">
              <w:rPr>
                <w:rFonts w:ascii="Lato" w:hAnsi="Lato"/>
              </w:rPr>
              <w:t xml:space="preserve">from a </w:t>
            </w:r>
            <w:proofErr w:type="gramStart"/>
            <w:r w:rsidR="000F3AF8" w:rsidRPr="00031009">
              <w:rPr>
                <w:rFonts w:ascii="Lato" w:hAnsi="Lato"/>
              </w:rPr>
              <w:t>User</w:t>
            </w:r>
            <w:proofErr w:type="gramEnd"/>
            <w:r w:rsidR="000F3AF8" w:rsidRPr="00031009">
              <w:rPr>
                <w:rFonts w:ascii="Lato" w:hAnsi="Lato"/>
              </w:rPr>
              <w:t xml:space="preserve"> perspective.</w:t>
            </w:r>
            <w:r w:rsidR="00317189" w:rsidRPr="00031009">
              <w:rPr>
                <w:rFonts w:ascii="Lato" w:hAnsi="Lato"/>
              </w:rPr>
              <w:t xml:space="preserve"> </w:t>
            </w:r>
            <w:r w:rsidR="009E0342" w:rsidRPr="00031009">
              <w:rPr>
                <w:rFonts w:ascii="Lato" w:hAnsi="Lato"/>
              </w:rPr>
              <w:t xml:space="preserve">Current </w:t>
            </w:r>
            <w:r w:rsidR="00317189" w:rsidRPr="00031009">
              <w:rPr>
                <w:rFonts w:ascii="Lato" w:hAnsi="Lato"/>
              </w:rPr>
              <w:t xml:space="preserve">DCC guidance is to send more messages </w:t>
            </w:r>
            <w:r w:rsidR="00722E7A" w:rsidRPr="00031009">
              <w:rPr>
                <w:rFonts w:ascii="Lato" w:hAnsi="Lato"/>
              </w:rPr>
              <w:t xml:space="preserve">with a smaller return payload because the DCC system </w:t>
            </w:r>
            <w:r w:rsidR="000F3AF8" w:rsidRPr="00031009">
              <w:rPr>
                <w:rFonts w:ascii="Lato" w:hAnsi="Lato"/>
              </w:rPr>
              <w:t xml:space="preserve">cannot reliably deliver </w:t>
            </w:r>
            <w:r w:rsidR="009E0342" w:rsidRPr="00031009">
              <w:rPr>
                <w:rFonts w:ascii="Lato" w:hAnsi="Lato"/>
              </w:rPr>
              <w:t>a large payload response.</w:t>
            </w:r>
          </w:p>
          <w:p w14:paraId="25E9D3CB" w14:textId="0ED488CB" w:rsidR="00E8688A" w:rsidRPr="00031009" w:rsidRDefault="00E8688A" w:rsidP="00115E6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031009">
              <w:rPr>
                <w:rFonts w:ascii="Lato" w:hAnsi="Lato"/>
              </w:rPr>
              <w:t xml:space="preserve">In deciding which SRs should be charged and which should be free, </w:t>
            </w:r>
            <w:r w:rsidR="00952602" w:rsidRPr="00031009">
              <w:rPr>
                <w:rFonts w:ascii="Lato" w:hAnsi="Lato"/>
              </w:rPr>
              <w:t xml:space="preserve">we are also categorising the importance of each and its ability to deliver benefits for any </w:t>
            </w:r>
            <w:r w:rsidR="00E0320A" w:rsidRPr="00031009">
              <w:rPr>
                <w:rFonts w:ascii="Lato" w:hAnsi="Lato"/>
              </w:rPr>
              <w:t xml:space="preserve">one User. </w:t>
            </w:r>
            <w:r w:rsidR="000172C1" w:rsidRPr="00031009">
              <w:rPr>
                <w:rFonts w:ascii="Lato" w:hAnsi="Lato"/>
              </w:rPr>
              <w:t xml:space="preserve">From table 10, </w:t>
            </w:r>
            <w:proofErr w:type="gramStart"/>
            <w:r w:rsidR="000172C1" w:rsidRPr="00031009">
              <w:rPr>
                <w:rFonts w:ascii="Lato" w:hAnsi="Lato"/>
              </w:rPr>
              <w:t>the majority of</w:t>
            </w:r>
            <w:proofErr w:type="gramEnd"/>
            <w:r w:rsidR="000172C1" w:rsidRPr="00031009">
              <w:rPr>
                <w:rFonts w:ascii="Lato" w:hAnsi="Lato"/>
              </w:rPr>
              <w:t xml:space="preserve"> requests are associated with consumption i</w:t>
            </w:r>
            <w:r w:rsidR="00830066" w:rsidRPr="00031009">
              <w:rPr>
                <w:rFonts w:ascii="Lato" w:hAnsi="Lato"/>
              </w:rPr>
              <w:t xml:space="preserve">nformation. </w:t>
            </w:r>
            <w:r w:rsidR="00B3285B" w:rsidRPr="00031009">
              <w:rPr>
                <w:rFonts w:ascii="Lato" w:hAnsi="Lato"/>
              </w:rPr>
              <w:t>We have not been presented with any information as to how dem</w:t>
            </w:r>
            <w:r w:rsidR="00420A53" w:rsidRPr="00031009">
              <w:rPr>
                <w:rFonts w:ascii="Lato" w:hAnsi="Lato"/>
              </w:rPr>
              <w:t>a</w:t>
            </w:r>
            <w:r w:rsidR="00B3285B" w:rsidRPr="00031009">
              <w:rPr>
                <w:rFonts w:ascii="Lato" w:hAnsi="Lato"/>
              </w:rPr>
              <w:t xml:space="preserve">nd is </w:t>
            </w:r>
            <w:r w:rsidR="00420A53" w:rsidRPr="00031009">
              <w:rPr>
                <w:rFonts w:ascii="Lato" w:hAnsi="Lato"/>
              </w:rPr>
              <w:t xml:space="preserve">spread across a </w:t>
            </w:r>
            <w:proofErr w:type="gramStart"/>
            <w:r w:rsidR="00420A53" w:rsidRPr="00031009">
              <w:rPr>
                <w:rFonts w:ascii="Lato" w:hAnsi="Lato"/>
              </w:rPr>
              <w:t>24 hour</w:t>
            </w:r>
            <w:proofErr w:type="gramEnd"/>
            <w:r w:rsidR="00420A53" w:rsidRPr="00031009">
              <w:rPr>
                <w:rFonts w:ascii="Lato" w:hAnsi="Lato"/>
              </w:rPr>
              <w:t xml:space="preserve"> period. It may be simpler to initially address this one issue.</w:t>
            </w:r>
          </w:p>
          <w:p w14:paraId="54D20F75" w14:textId="09C50D1B" w:rsidR="00830066" w:rsidRDefault="00AE426F" w:rsidP="00115E6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031009">
              <w:rPr>
                <w:rFonts w:ascii="Lato" w:hAnsi="Lato"/>
              </w:rPr>
              <w:t>The approach needs to recognise that Users are recovering costs on behalf of all stakeholders</w:t>
            </w:r>
            <w:r w:rsidR="00EB6937" w:rsidRPr="00031009">
              <w:rPr>
                <w:rFonts w:ascii="Lato" w:hAnsi="Lato"/>
              </w:rPr>
              <w:t xml:space="preserve"> </w:t>
            </w:r>
            <w:r w:rsidRPr="00031009">
              <w:rPr>
                <w:rFonts w:ascii="Lato" w:hAnsi="Lato"/>
              </w:rPr>
              <w:t>and, as such, longer term assurance as to funding of this approach is needed for it to be sustainable.</w:t>
            </w:r>
          </w:p>
          <w:p w14:paraId="5ABB3415" w14:textId="77777777" w:rsidR="00830066" w:rsidRDefault="00830066" w:rsidP="00115E6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09DE4167" w14:textId="6314CCDC" w:rsidR="00830066" w:rsidRPr="00B56577" w:rsidRDefault="00830066" w:rsidP="00115E6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r w:rsidR="00D7442C" w:rsidRPr="00B56577" w14:paraId="460C1862" w14:textId="77777777" w:rsidTr="008A7679">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762651D4" w14:textId="02066718" w:rsidR="00D7442C" w:rsidRPr="00CA1679" w:rsidRDefault="00D7442C" w:rsidP="00D7442C">
            <w:pPr>
              <w:pStyle w:val="TableText-Left"/>
              <w:spacing w:line="276" w:lineRule="auto"/>
              <w:jc w:val="center"/>
              <w:rPr>
                <w:rFonts w:ascii="Lato" w:hAnsi="Lato"/>
                <w:color w:val="auto"/>
              </w:rPr>
            </w:pPr>
            <w:r w:rsidRPr="00CA1679">
              <w:rPr>
                <w:rFonts w:ascii="Lato" w:hAnsi="Lato"/>
                <w:color w:val="auto"/>
              </w:rPr>
              <w:lastRenderedPageBreak/>
              <w:t>Q26</w:t>
            </w:r>
          </w:p>
        </w:tc>
        <w:tc>
          <w:tcPr>
            <w:tcW w:w="698" w:type="pct"/>
            <w:vAlign w:val="center"/>
          </w:tcPr>
          <w:p w14:paraId="371E37D7" w14:textId="423D9669" w:rsidR="00D7442C" w:rsidRPr="00A85762" w:rsidRDefault="00D7442C" w:rsidP="00D7442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B6C2F">
              <w:rPr>
                <w:rFonts w:ascii="Lato" w:hAnsi="Lato"/>
              </w:rPr>
              <w:t xml:space="preserve">What type of costs do you think should be recovered through the standing charge? </w:t>
            </w:r>
          </w:p>
        </w:tc>
        <w:tc>
          <w:tcPr>
            <w:tcW w:w="3936" w:type="pct"/>
            <w:vAlign w:val="center"/>
          </w:tcPr>
          <w:p w14:paraId="3E933919" w14:textId="77777777" w:rsidR="0036331A" w:rsidRPr="00B56577" w:rsidRDefault="0036331A" w:rsidP="0036331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We have insufficient information to offer a view on this.  The DCC should make proposals as part of their licence charging methodology review.</w:t>
            </w:r>
          </w:p>
          <w:p w14:paraId="76895435" w14:textId="19F649F6" w:rsidR="00757FC8" w:rsidRPr="00B56577" w:rsidRDefault="00757FC8" w:rsidP="00757FC8">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1D50F678" w14:textId="7AFC1C09" w:rsidR="00D7442C" w:rsidRPr="00B56577" w:rsidRDefault="00D7442C"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r w:rsidR="00D7442C" w:rsidRPr="00B56577" w14:paraId="3E1A0ABD" w14:textId="77777777" w:rsidTr="008A7679">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0BC81BD5" w14:textId="689B095F" w:rsidR="00D7442C" w:rsidRPr="00CA1679" w:rsidRDefault="00D7442C" w:rsidP="00D7442C">
            <w:pPr>
              <w:pStyle w:val="TableText-Left"/>
              <w:spacing w:line="276" w:lineRule="auto"/>
              <w:jc w:val="center"/>
              <w:rPr>
                <w:rFonts w:ascii="Lato" w:hAnsi="Lato"/>
                <w:color w:val="auto"/>
              </w:rPr>
            </w:pPr>
            <w:r w:rsidRPr="00CA1679">
              <w:rPr>
                <w:rFonts w:ascii="Lato" w:hAnsi="Lato"/>
                <w:color w:val="auto"/>
              </w:rPr>
              <w:t>Q27</w:t>
            </w:r>
          </w:p>
        </w:tc>
        <w:tc>
          <w:tcPr>
            <w:tcW w:w="698" w:type="pct"/>
            <w:vAlign w:val="center"/>
          </w:tcPr>
          <w:p w14:paraId="16E07CFE" w14:textId="110E2670" w:rsidR="00D7442C" w:rsidRPr="00A85762" w:rsidRDefault="00D7442C" w:rsidP="00D7442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B6C2F">
              <w:rPr>
                <w:rFonts w:ascii="Lato" w:hAnsi="Lato"/>
              </w:rPr>
              <w:t>Are there any other impacts or design considerations that should be captured</w:t>
            </w:r>
            <w:r>
              <w:rPr>
                <w:rFonts w:ascii="Lato" w:hAnsi="Lato"/>
              </w:rPr>
              <w:t xml:space="preserve"> under charging option 4</w:t>
            </w:r>
            <w:r w:rsidRPr="00FB6C2F">
              <w:rPr>
                <w:rFonts w:ascii="Lato" w:hAnsi="Lato"/>
              </w:rPr>
              <w:t>?</w:t>
            </w:r>
          </w:p>
        </w:tc>
        <w:tc>
          <w:tcPr>
            <w:tcW w:w="3936" w:type="pct"/>
            <w:vAlign w:val="center"/>
          </w:tcPr>
          <w:p w14:paraId="33B325AF" w14:textId="740906DA" w:rsidR="0036331A" w:rsidRPr="00B56577" w:rsidRDefault="0036331A" w:rsidP="0036331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have insufficient information to offer a view on this.  </w:t>
            </w:r>
          </w:p>
          <w:p w14:paraId="3D27E21B" w14:textId="757F4F30" w:rsidR="00D7442C" w:rsidRPr="00B56577" w:rsidRDefault="00D7442C"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r w:rsidR="00D7442C" w:rsidRPr="00B56577" w14:paraId="186CC79A" w14:textId="77777777" w:rsidTr="008A7679">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338E3934" w14:textId="54B73F7B" w:rsidR="00D7442C" w:rsidRPr="00CA1679" w:rsidRDefault="00D7442C" w:rsidP="00D7442C">
            <w:pPr>
              <w:pStyle w:val="TableText-Left"/>
              <w:spacing w:line="276" w:lineRule="auto"/>
              <w:jc w:val="center"/>
              <w:rPr>
                <w:rFonts w:ascii="Lato" w:hAnsi="Lato"/>
                <w:color w:val="auto"/>
              </w:rPr>
            </w:pPr>
            <w:r w:rsidRPr="00CA1679">
              <w:rPr>
                <w:rFonts w:ascii="Lato" w:hAnsi="Lato"/>
                <w:color w:val="auto"/>
              </w:rPr>
              <w:t>Q28</w:t>
            </w:r>
          </w:p>
        </w:tc>
        <w:tc>
          <w:tcPr>
            <w:tcW w:w="698" w:type="pct"/>
            <w:vAlign w:val="center"/>
          </w:tcPr>
          <w:p w14:paraId="72354C17" w14:textId="74166B17" w:rsidR="00D7442C" w:rsidRPr="00A85762" w:rsidRDefault="00A541E1" w:rsidP="00D7442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A541E1">
              <w:rPr>
                <w:rFonts w:ascii="Lato" w:hAnsi="Lato"/>
              </w:rPr>
              <w:t xml:space="preserve">Do you have any comments on the costs your organisation may incur in implementing charging option </w:t>
            </w:r>
            <w:r>
              <w:rPr>
                <w:rFonts w:ascii="Lato" w:hAnsi="Lato"/>
              </w:rPr>
              <w:t>4</w:t>
            </w:r>
            <w:r w:rsidR="00D7442C" w:rsidRPr="00FB6C2F">
              <w:rPr>
                <w:rFonts w:ascii="Lato" w:hAnsi="Lato"/>
              </w:rPr>
              <w:t>?</w:t>
            </w:r>
          </w:p>
        </w:tc>
        <w:tc>
          <w:tcPr>
            <w:tcW w:w="3936" w:type="pct"/>
            <w:vAlign w:val="center"/>
          </w:tcPr>
          <w:p w14:paraId="746CFB67" w14:textId="2186945C" w:rsidR="007F0730" w:rsidRDefault="00E60E90" w:rsidP="007F0730">
            <w:pPr>
              <w:pStyle w:val="Default"/>
              <w:cnfStyle w:val="000000000000" w:firstRow="0" w:lastRow="0" w:firstColumn="0" w:lastColumn="0" w:oddVBand="0" w:evenVBand="0" w:oddHBand="0" w:evenHBand="0" w:firstRowFirstColumn="0" w:firstRowLastColumn="0" w:lastRowFirstColumn="0" w:lastRowLastColumn="0"/>
              <w:rPr>
                <w:rFonts w:ascii="Lato" w:hAnsi="Lato" w:cs="Lato"/>
                <w:szCs w:val="22"/>
              </w:rPr>
            </w:pPr>
            <w:r>
              <w:rPr>
                <w:rFonts w:ascii="Lato" w:hAnsi="Lato"/>
              </w:rPr>
              <w:t xml:space="preserve">The variable charge discussion in paragraph </w:t>
            </w:r>
            <w:r w:rsidR="007D67B4">
              <w:rPr>
                <w:rFonts w:ascii="Lato" w:hAnsi="Lato"/>
              </w:rPr>
              <w:t xml:space="preserve">123 </w:t>
            </w:r>
            <w:r w:rsidR="007F0730">
              <w:rPr>
                <w:rFonts w:ascii="Lato" w:hAnsi="Lato"/>
              </w:rPr>
              <w:t>refers to ‘’</w:t>
            </w:r>
            <w:r w:rsidR="007F0730" w:rsidRPr="007F0730">
              <w:rPr>
                <w:rFonts w:ascii="Lato" w:hAnsi="Lato" w:cs="Lato"/>
                <w:szCs w:val="22"/>
              </w:rPr>
              <w:t>reflecting the unit cost of sending one message</w:t>
            </w:r>
            <w:r w:rsidR="007F0730">
              <w:rPr>
                <w:rFonts w:ascii="Lato" w:hAnsi="Lato" w:cs="Lato"/>
                <w:szCs w:val="22"/>
              </w:rPr>
              <w:t xml:space="preserve">’’. We have not seen </w:t>
            </w:r>
            <w:r w:rsidR="00723CE8">
              <w:rPr>
                <w:rFonts w:ascii="Lato" w:hAnsi="Lato" w:cs="Lato"/>
                <w:szCs w:val="22"/>
              </w:rPr>
              <w:t>the element of DCC overall costs that would be reflected in this to be able to understand the impact it may have.</w:t>
            </w:r>
          </w:p>
          <w:p w14:paraId="501DF395" w14:textId="77777777" w:rsidR="007F0730" w:rsidRDefault="007F0730" w:rsidP="007F0730">
            <w:pPr>
              <w:pStyle w:val="Default"/>
              <w:cnfStyle w:val="000000000000" w:firstRow="0" w:lastRow="0" w:firstColumn="0" w:lastColumn="0" w:oddVBand="0" w:evenVBand="0" w:oddHBand="0" w:evenHBand="0" w:firstRowFirstColumn="0" w:firstRowLastColumn="0" w:lastRowFirstColumn="0" w:lastRowLastColumn="0"/>
              <w:rPr>
                <w:rFonts w:ascii="Lato" w:hAnsi="Lato" w:cs="Lato"/>
                <w:szCs w:val="22"/>
              </w:rPr>
            </w:pPr>
          </w:p>
          <w:p w14:paraId="5585428A" w14:textId="1FBB0D76" w:rsidR="00B43CC6" w:rsidRPr="00B56577" w:rsidRDefault="00B43CC6" w:rsidP="00B43CC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01B50426" w14:textId="719C0ED2" w:rsidR="00D7442C" w:rsidRPr="00B56577" w:rsidRDefault="00D7442C"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bl>
    <w:p w14:paraId="3EFA60D5" w14:textId="77777777" w:rsidR="006A6000" w:rsidRDefault="006A6000"/>
    <w:p w14:paraId="1BA86C05" w14:textId="77777777" w:rsidR="006A6000" w:rsidRPr="008678B6" w:rsidRDefault="006A6000" w:rsidP="006A6000">
      <w:pPr>
        <w:pStyle w:val="Heading2"/>
        <w:spacing w:before="220" w:after="220"/>
        <w:ind w:left="709" w:hanging="709"/>
        <w:rPr>
          <w:rFonts w:ascii="Lato" w:eastAsiaTheme="minorHAnsi" w:hAnsi="Lato" w:cstheme="minorBidi"/>
          <w:bCs w:val="0"/>
          <w:iCs w:val="0"/>
          <w:color w:val="CA005D"/>
          <w:szCs w:val="22"/>
        </w:rPr>
      </w:pPr>
      <w:r w:rsidRPr="00A90540">
        <w:rPr>
          <w:rFonts w:ascii="Lato" w:eastAsiaTheme="minorHAnsi" w:hAnsi="Lato" w:cstheme="minorBidi"/>
          <w:bCs w:val="0"/>
          <w:iCs w:val="0"/>
          <w:color w:val="CA005D"/>
          <w:szCs w:val="22"/>
        </w:rPr>
        <w:lastRenderedPageBreak/>
        <w:t xml:space="preserve">Questions on charging option </w:t>
      </w:r>
      <w:r>
        <w:rPr>
          <w:rFonts w:ascii="Lato" w:eastAsiaTheme="minorHAnsi" w:hAnsi="Lato" w:cstheme="minorBidi"/>
          <w:bCs w:val="0"/>
          <w:iCs w:val="0"/>
          <w:color w:val="CA005D"/>
          <w:szCs w:val="22"/>
        </w:rPr>
        <w:t>5</w:t>
      </w:r>
    </w:p>
    <w:tbl>
      <w:tblPr>
        <w:tblStyle w:val="TableTemplate1"/>
        <w:tblW w:w="5000" w:type="pct"/>
        <w:tblLook w:val="04A0" w:firstRow="1" w:lastRow="0" w:firstColumn="1" w:lastColumn="0" w:noHBand="0" w:noVBand="1"/>
      </w:tblPr>
      <w:tblGrid>
        <w:gridCol w:w="1020"/>
        <w:gridCol w:w="1946"/>
        <w:gridCol w:w="10972"/>
      </w:tblGrid>
      <w:tr w:rsidR="00232D96" w:rsidRPr="00B56577" w14:paraId="481A4024" w14:textId="77777777" w:rsidTr="008A7679">
        <w:trPr>
          <w:cnfStyle w:val="100000000000" w:firstRow="1" w:lastRow="0" w:firstColumn="0" w:lastColumn="0" w:oddVBand="0" w:evenVBand="0" w:oddHBand="0" w:evenHBand="0" w:firstRowFirstColumn="0" w:firstRowLastColumn="0" w:lastRowFirstColumn="0" w:lastRowLastColumn="0"/>
          <w:trHeight w:val="130"/>
        </w:trPr>
        <w:tc>
          <w:tcPr>
            <w:cnfStyle w:val="001000000000" w:firstRow="0" w:lastRow="0" w:firstColumn="1" w:lastColumn="0" w:oddVBand="0" w:evenVBand="0" w:oddHBand="0" w:evenHBand="0" w:firstRowFirstColumn="0" w:firstRowLastColumn="0" w:lastRowFirstColumn="0" w:lastRowLastColumn="0"/>
            <w:tcW w:w="366" w:type="pct"/>
            <w:vAlign w:val="top"/>
          </w:tcPr>
          <w:p w14:paraId="13D80923" w14:textId="6B0CE96A" w:rsidR="00232D96" w:rsidRPr="007D7F88" w:rsidRDefault="00232D96" w:rsidP="00232D96">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698" w:type="pct"/>
            <w:vAlign w:val="top"/>
          </w:tcPr>
          <w:p w14:paraId="61E34F51" w14:textId="2979ECF4" w:rsidR="00232D96" w:rsidRPr="00FB6C2F" w:rsidRDefault="00232D96" w:rsidP="00232D96">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3936" w:type="pct"/>
            <w:vAlign w:val="top"/>
          </w:tcPr>
          <w:p w14:paraId="6866BAD4" w14:textId="4584152C" w:rsidR="00232D96" w:rsidRPr="00B56577" w:rsidRDefault="00232D96" w:rsidP="00232D96">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232D96" w:rsidRPr="00B56577" w14:paraId="70174910" w14:textId="77777777" w:rsidTr="008A7679">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0EA9F9EB" w14:textId="552446CF" w:rsidR="00232D96" w:rsidRDefault="00232D96" w:rsidP="00232D96">
            <w:pPr>
              <w:pStyle w:val="TableText-Left"/>
              <w:spacing w:line="276" w:lineRule="auto"/>
              <w:jc w:val="center"/>
              <w:rPr>
                <w:rFonts w:ascii="Lato" w:hAnsi="Lato"/>
              </w:rPr>
            </w:pPr>
            <w:r>
              <w:rPr>
                <w:rFonts w:ascii="Lato" w:hAnsi="Lato"/>
                <w:color w:val="auto"/>
              </w:rPr>
              <w:t>Q29</w:t>
            </w:r>
          </w:p>
        </w:tc>
        <w:tc>
          <w:tcPr>
            <w:tcW w:w="698" w:type="pct"/>
            <w:vAlign w:val="center"/>
          </w:tcPr>
          <w:p w14:paraId="29E56159" w14:textId="6BBD4E03" w:rsidR="00232D96" w:rsidRPr="00377971" w:rsidRDefault="00232D96" w:rsidP="00232D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377971">
              <w:rPr>
                <w:rFonts w:ascii="Lato" w:hAnsi="Lato"/>
              </w:rPr>
              <w:t>Do you agree with our initial assessment of the impact of charging option</w:t>
            </w:r>
            <w:r>
              <w:rPr>
                <w:rFonts w:ascii="Lato" w:hAnsi="Lato"/>
              </w:rPr>
              <w:t xml:space="preserve"> 5</w:t>
            </w:r>
            <w:r w:rsidRPr="00377971">
              <w:rPr>
                <w:rFonts w:ascii="Lato" w:hAnsi="Lato"/>
              </w:rPr>
              <w:t>?</w:t>
            </w:r>
          </w:p>
        </w:tc>
        <w:tc>
          <w:tcPr>
            <w:tcW w:w="3936" w:type="pct"/>
            <w:vAlign w:val="center"/>
          </w:tcPr>
          <w:p w14:paraId="139DB3A8" w14:textId="5E0C90F6" w:rsidR="0036331A" w:rsidRPr="00B56577" w:rsidRDefault="0036331A" w:rsidP="0036331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We have insufficient information to offer agreement or not on this option.</w:t>
            </w:r>
            <w:r w:rsidR="0040246C">
              <w:rPr>
                <w:rFonts w:ascii="Lato" w:hAnsi="Lato"/>
              </w:rPr>
              <w:t xml:space="preserve"> This option would trigger a wholesale review of the charging methodology for all DCC users as we recommend should be part of the DCC annual review of charging methodology RY 2024/25 once the DCC has more than 12 months</w:t>
            </w:r>
            <w:r w:rsidR="00BF12B3">
              <w:rPr>
                <w:rFonts w:ascii="Lato" w:hAnsi="Lato"/>
              </w:rPr>
              <w:t>’</w:t>
            </w:r>
            <w:r w:rsidR="0040246C">
              <w:rPr>
                <w:rFonts w:ascii="Lato" w:hAnsi="Lato"/>
              </w:rPr>
              <w:t xml:space="preserve"> worth of data from DCC Users (e.g. Electricity Distributors). Refer to our responses to Q1 and Q13.</w:t>
            </w:r>
          </w:p>
          <w:p w14:paraId="7115246E" w14:textId="2E6AC552" w:rsidR="00E00E4F" w:rsidRDefault="00177A97" w:rsidP="00E00E4F">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This option solely reflects usage. It </w:t>
            </w:r>
            <w:r w:rsidR="00BB2968">
              <w:rPr>
                <w:rFonts w:ascii="Lato" w:hAnsi="Lato"/>
              </w:rPr>
              <w:t>encourages</w:t>
            </w:r>
            <w:r w:rsidR="00A66E02">
              <w:rPr>
                <w:rFonts w:ascii="Lato" w:hAnsi="Lato"/>
              </w:rPr>
              <w:t xml:space="preserve"> User</w:t>
            </w:r>
            <w:r w:rsidR="00BB2968">
              <w:rPr>
                <w:rFonts w:ascii="Lato" w:hAnsi="Lato"/>
              </w:rPr>
              <w:t>s</w:t>
            </w:r>
            <w:r w:rsidR="00A66E02">
              <w:rPr>
                <w:rFonts w:ascii="Lato" w:hAnsi="Lato"/>
              </w:rPr>
              <w:t xml:space="preserve"> to </w:t>
            </w:r>
            <w:r w:rsidR="00BB2968">
              <w:rPr>
                <w:rFonts w:ascii="Lato" w:hAnsi="Lato"/>
              </w:rPr>
              <w:t>monitor and manage their usage but introduces uncertainty</w:t>
            </w:r>
            <w:r w:rsidR="00C75486">
              <w:rPr>
                <w:rFonts w:ascii="Lato" w:hAnsi="Lato"/>
              </w:rPr>
              <w:t xml:space="preserve"> for both the current and future periods. An increase or decrease in usage </w:t>
            </w:r>
            <w:r>
              <w:rPr>
                <w:rFonts w:ascii="Lato" w:hAnsi="Lato"/>
              </w:rPr>
              <w:t>i</w:t>
            </w:r>
            <w:r w:rsidR="00A66E02">
              <w:rPr>
                <w:rFonts w:ascii="Lato" w:hAnsi="Lato"/>
              </w:rPr>
              <w:t xml:space="preserve">ntroduces uncertainty </w:t>
            </w:r>
            <w:r w:rsidR="00E3159B">
              <w:rPr>
                <w:rFonts w:ascii="Lato" w:hAnsi="Lato"/>
              </w:rPr>
              <w:t>in the reconciliation process later.</w:t>
            </w:r>
          </w:p>
          <w:p w14:paraId="08B03A73" w14:textId="1EA700E5" w:rsidR="00D6788E" w:rsidRDefault="00D6788E" w:rsidP="00E00E4F">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The variable cost observations in Option 4 apply also to option 5.</w:t>
            </w:r>
          </w:p>
          <w:p w14:paraId="5FD456EA" w14:textId="10EAF6F8" w:rsidR="00232D96" w:rsidRPr="00B56577" w:rsidRDefault="000035B3"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0246C">
              <w:rPr>
                <w:rFonts w:ascii="Lato" w:hAnsi="Lato"/>
              </w:rPr>
              <w:t>The approach needs to recognise that Users are recovering costs on behalf of all stakeholders and, as such, longer term assurance as to funding of this approach is needed for it to be sustainable.</w:t>
            </w:r>
          </w:p>
        </w:tc>
      </w:tr>
      <w:tr w:rsidR="00232D96" w:rsidRPr="00B56577" w14:paraId="6C4A27D0" w14:textId="77777777" w:rsidTr="008A7679">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2A9B1C16" w14:textId="0A691506" w:rsidR="00232D96" w:rsidRPr="007D7F88" w:rsidRDefault="00232D96" w:rsidP="00232D96">
            <w:pPr>
              <w:pStyle w:val="TableText-Left"/>
              <w:spacing w:line="276" w:lineRule="auto"/>
              <w:jc w:val="center"/>
              <w:rPr>
                <w:rFonts w:ascii="Lato" w:hAnsi="Lato"/>
                <w:color w:val="auto"/>
              </w:rPr>
            </w:pPr>
            <w:r>
              <w:rPr>
                <w:rFonts w:ascii="Lato" w:hAnsi="Lato"/>
                <w:color w:val="auto"/>
              </w:rPr>
              <w:t>Q30</w:t>
            </w:r>
          </w:p>
        </w:tc>
        <w:tc>
          <w:tcPr>
            <w:tcW w:w="698" w:type="pct"/>
            <w:vAlign w:val="center"/>
          </w:tcPr>
          <w:p w14:paraId="1B913284" w14:textId="2BEFA69C" w:rsidR="00232D96" w:rsidRPr="00FB6C2F" w:rsidRDefault="00232D96" w:rsidP="00232D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23CFE">
              <w:rPr>
                <w:rFonts w:ascii="Lato" w:hAnsi="Lato"/>
              </w:rPr>
              <w:t>Do you agree with our views on the granularity of variable charges? Are there any other characteristics that are important differentiate variable charges on?</w:t>
            </w:r>
          </w:p>
        </w:tc>
        <w:tc>
          <w:tcPr>
            <w:tcW w:w="3936" w:type="pct"/>
            <w:vAlign w:val="center"/>
          </w:tcPr>
          <w:p w14:paraId="683CBBB7" w14:textId="77777777" w:rsidR="0036331A" w:rsidRPr="00B56577" w:rsidRDefault="0036331A" w:rsidP="0036331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We have insufficient information to offer a view on this.  The DCC should make proposals as part of their licence charging methodology review.</w:t>
            </w:r>
          </w:p>
          <w:p w14:paraId="6E75FEEF" w14:textId="73379DDD" w:rsidR="009232F6" w:rsidRPr="00B56577" w:rsidRDefault="009232F6" w:rsidP="009232F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2C4BA01C" w14:textId="54FA1FFA" w:rsidR="00232D96" w:rsidRPr="00B56577" w:rsidRDefault="00232D96"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r w:rsidR="00232D96" w:rsidRPr="00B56577" w14:paraId="6CC531CD" w14:textId="77777777" w:rsidTr="008A7679">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2B0361C4" w14:textId="6063D729" w:rsidR="00232D96" w:rsidRPr="007D7F88" w:rsidRDefault="00232D96" w:rsidP="00232D96">
            <w:pPr>
              <w:pStyle w:val="TableText-Left"/>
              <w:spacing w:line="276" w:lineRule="auto"/>
              <w:jc w:val="center"/>
              <w:rPr>
                <w:rFonts w:ascii="Lato" w:hAnsi="Lato"/>
                <w:color w:val="auto"/>
              </w:rPr>
            </w:pPr>
            <w:r>
              <w:rPr>
                <w:rFonts w:ascii="Lato" w:hAnsi="Lato"/>
                <w:color w:val="auto"/>
              </w:rPr>
              <w:lastRenderedPageBreak/>
              <w:t>Q31</w:t>
            </w:r>
          </w:p>
        </w:tc>
        <w:tc>
          <w:tcPr>
            <w:tcW w:w="698" w:type="pct"/>
            <w:vAlign w:val="center"/>
          </w:tcPr>
          <w:p w14:paraId="3BCA6FAC" w14:textId="23D78421" w:rsidR="00232D96" w:rsidRPr="00FB6C2F" w:rsidRDefault="00232D96" w:rsidP="00232D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23CFE">
              <w:rPr>
                <w:rFonts w:ascii="Lato" w:hAnsi="Lato"/>
              </w:rPr>
              <w:t xml:space="preserve">Do you agree with our proposed approach to calibrating variable charges? </w:t>
            </w:r>
          </w:p>
        </w:tc>
        <w:tc>
          <w:tcPr>
            <w:tcW w:w="3936" w:type="pct"/>
            <w:vAlign w:val="center"/>
          </w:tcPr>
          <w:p w14:paraId="219D6ACC" w14:textId="28D5A210" w:rsidR="0036331A" w:rsidRPr="00B56577" w:rsidRDefault="0036331A" w:rsidP="0036331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We have insufficient information to offer agreement or not on this approach.</w:t>
            </w:r>
          </w:p>
          <w:p w14:paraId="602B00A9" w14:textId="39370DC6" w:rsidR="00232D96" w:rsidRPr="00B56577" w:rsidRDefault="00232D96"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r w:rsidR="00232D96" w:rsidRPr="00B56577" w14:paraId="1CF0AD1D" w14:textId="77777777" w:rsidTr="008A7679">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57851534" w14:textId="45795DD4" w:rsidR="00232D96" w:rsidRPr="007D7F88" w:rsidRDefault="00232D96" w:rsidP="00232D96">
            <w:pPr>
              <w:pStyle w:val="TableText-Left"/>
              <w:spacing w:line="276" w:lineRule="auto"/>
              <w:jc w:val="center"/>
              <w:rPr>
                <w:rFonts w:ascii="Lato" w:hAnsi="Lato"/>
                <w:color w:val="auto"/>
              </w:rPr>
            </w:pPr>
            <w:r>
              <w:rPr>
                <w:rFonts w:ascii="Lato" w:hAnsi="Lato"/>
                <w:color w:val="auto"/>
              </w:rPr>
              <w:t>Q32</w:t>
            </w:r>
          </w:p>
        </w:tc>
        <w:tc>
          <w:tcPr>
            <w:tcW w:w="698" w:type="pct"/>
            <w:vAlign w:val="center"/>
          </w:tcPr>
          <w:p w14:paraId="278B5278" w14:textId="18E04B8B" w:rsidR="00232D96" w:rsidRPr="00FB6C2F" w:rsidRDefault="00232D96" w:rsidP="00232D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23CFE">
              <w:rPr>
                <w:rFonts w:ascii="Lato" w:hAnsi="Lato"/>
              </w:rPr>
              <w:t>Are there any other impacts or design considerations that should be captured</w:t>
            </w:r>
            <w:r>
              <w:rPr>
                <w:rFonts w:ascii="Lato" w:hAnsi="Lato"/>
              </w:rPr>
              <w:t xml:space="preserve"> under charging option 5</w:t>
            </w:r>
            <w:r w:rsidRPr="00423CFE">
              <w:rPr>
                <w:rFonts w:ascii="Lato" w:hAnsi="Lato"/>
              </w:rPr>
              <w:t>?</w:t>
            </w:r>
          </w:p>
        </w:tc>
        <w:tc>
          <w:tcPr>
            <w:tcW w:w="3936" w:type="pct"/>
            <w:vAlign w:val="center"/>
          </w:tcPr>
          <w:p w14:paraId="0FB9B5C0" w14:textId="04879D73" w:rsidR="0036331A" w:rsidRPr="00B56577" w:rsidRDefault="0036331A" w:rsidP="0036331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have insufficient information to offer a view on this.  </w:t>
            </w:r>
          </w:p>
          <w:p w14:paraId="26E7929F" w14:textId="57E4671D" w:rsidR="00232D96" w:rsidRPr="00B56577" w:rsidRDefault="00232D96"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r w:rsidR="00232D96" w:rsidRPr="00B56577" w14:paraId="49DB9C7C" w14:textId="77777777" w:rsidTr="008A7679">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5BB7F9BE" w14:textId="2B156AEE" w:rsidR="00232D96" w:rsidRPr="007D7F88" w:rsidRDefault="00232D96" w:rsidP="00232D96">
            <w:pPr>
              <w:pStyle w:val="TableText-Left"/>
              <w:spacing w:line="276" w:lineRule="auto"/>
              <w:jc w:val="center"/>
              <w:rPr>
                <w:rFonts w:ascii="Lato" w:hAnsi="Lato"/>
                <w:color w:val="auto"/>
              </w:rPr>
            </w:pPr>
            <w:r>
              <w:rPr>
                <w:rFonts w:ascii="Lato" w:hAnsi="Lato"/>
                <w:color w:val="auto"/>
              </w:rPr>
              <w:t>Q33</w:t>
            </w:r>
          </w:p>
        </w:tc>
        <w:tc>
          <w:tcPr>
            <w:tcW w:w="698" w:type="pct"/>
            <w:vAlign w:val="center"/>
          </w:tcPr>
          <w:p w14:paraId="3BF4E336" w14:textId="58ABE653" w:rsidR="00232D96" w:rsidRPr="00FB6C2F" w:rsidRDefault="00F7669E" w:rsidP="00232D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7669E">
              <w:rPr>
                <w:rFonts w:ascii="Lato" w:hAnsi="Lato"/>
              </w:rPr>
              <w:t>Do you have any comments on the costs your organisation may incur in implementing charging option 5</w:t>
            </w:r>
            <w:r w:rsidR="00232D96" w:rsidRPr="00423CFE">
              <w:rPr>
                <w:rFonts w:ascii="Lato" w:hAnsi="Lato"/>
              </w:rPr>
              <w:t>?</w:t>
            </w:r>
          </w:p>
        </w:tc>
        <w:tc>
          <w:tcPr>
            <w:tcW w:w="3936" w:type="pct"/>
            <w:vAlign w:val="center"/>
          </w:tcPr>
          <w:p w14:paraId="71C60DEF" w14:textId="028CDDD6" w:rsidR="009232F6" w:rsidRPr="00B56577" w:rsidRDefault="0036331A" w:rsidP="009232F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No.</w:t>
            </w:r>
          </w:p>
          <w:p w14:paraId="3CBD6BC1" w14:textId="7BF68318" w:rsidR="00232D96" w:rsidRPr="00B56577" w:rsidRDefault="00232D96"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bl>
    <w:p w14:paraId="10371575" w14:textId="77777777" w:rsidR="001E030C" w:rsidRDefault="001E030C"/>
    <w:p w14:paraId="11C84733" w14:textId="565C311C" w:rsidR="006A6000" w:rsidRPr="008678B6" w:rsidRDefault="008F6064" w:rsidP="006A6000">
      <w:pPr>
        <w:pStyle w:val="Heading2"/>
        <w:spacing w:before="220" w:after="220"/>
        <w:ind w:left="709" w:hanging="709"/>
        <w:rPr>
          <w:rFonts w:ascii="Lato" w:eastAsiaTheme="minorHAnsi" w:hAnsi="Lato" w:cstheme="minorBidi"/>
          <w:bCs w:val="0"/>
          <w:iCs w:val="0"/>
          <w:color w:val="CA005D"/>
          <w:szCs w:val="22"/>
        </w:rPr>
      </w:pPr>
      <w:r w:rsidRPr="008F6064">
        <w:rPr>
          <w:rFonts w:ascii="Lato" w:eastAsiaTheme="minorHAnsi" w:hAnsi="Lato" w:cstheme="minorBidi"/>
          <w:bCs w:val="0"/>
          <w:iCs w:val="0"/>
          <w:color w:val="CA005D"/>
          <w:szCs w:val="22"/>
        </w:rPr>
        <w:lastRenderedPageBreak/>
        <w:t xml:space="preserve">Overarching questions (all </w:t>
      </w:r>
      <w:r>
        <w:rPr>
          <w:rFonts w:ascii="Lato" w:eastAsiaTheme="minorHAnsi" w:hAnsi="Lato" w:cstheme="minorBidi"/>
          <w:bCs w:val="0"/>
          <w:iCs w:val="0"/>
          <w:color w:val="CA005D"/>
          <w:szCs w:val="22"/>
        </w:rPr>
        <w:t xml:space="preserve">charging </w:t>
      </w:r>
      <w:r w:rsidRPr="008F6064">
        <w:rPr>
          <w:rFonts w:ascii="Lato" w:eastAsiaTheme="minorHAnsi" w:hAnsi="Lato" w:cstheme="minorBidi"/>
          <w:bCs w:val="0"/>
          <w:iCs w:val="0"/>
          <w:color w:val="CA005D"/>
          <w:szCs w:val="22"/>
        </w:rPr>
        <w:t>options)</w:t>
      </w:r>
    </w:p>
    <w:tbl>
      <w:tblPr>
        <w:tblStyle w:val="TableTemplate1"/>
        <w:tblW w:w="5000" w:type="pct"/>
        <w:tblLook w:val="04A0" w:firstRow="1" w:lastRow="0" w:firstColumn="1" w:lastColumn="0" w:noHBand="0" w:noVBand="1"/>
      </w:tblPr>
      <w:tblGrid>
        <w:gridCol w:w="1020"/>
        <w:gridCol w:w="1946"/>
        <w:gridCol w:w="10972"/>
      </w:tblGrid>
      <w:tr w:rsidR="001E030C" w:rsidRPr="00B56577" w14:paraId="6C3FD763" w14:textId="77777777" w:rsidTr="008A7679">
        <w:trPr>
          <w:cnfStyle w:val="100000000000" w:firstRow="1" w:lastRow="0" w:firstColumn="0" w:lastColumn="0" w:oddVBand="0" w:evenVBand="0" w:oddHBand="0" w:evenHBand="0" w:firstRowFirstColumn="0" w:firstRowLastColumn="0" w:lastRowFirstColumn="0" w:lastRowLastColumn="0"/>
          <w:trHeight w:val="58"/>
        </w:trPr>
        <w:tc>
          <w:tcPr>
            <w:cnfStyle w:val="001000000000" w:firstRow="0" w:lastRow="0" w:firstColumn="1" w:lastColumn="0" w:oddVBand="0" w:evenVBand="0" w:oddHBand="0" w:evenHBand="0" w:firstRowFirstColumn="0" w:firstRowLastColumn="0" w:lastRowFirstColumn="0" w:lastRowLastColumn="0"/>
            <w:tcW w:w="366" w:type="pct"/>
            <w:vAlign w:val="top"/>
          </w:tcPr>
          <w:p w14:paraId="592B13DB" w14:textId="4034B657" w:rsidR="001E030C" w:rsidRPr="007D7F88" w:rsidRDefault="001E030C" w:rsidP="001E030C">
            <w:pPr>
              <w:pStyle w:val="TableText-Left"/>
              <w:spacing w:line="276" w:lineRule="auto"/>
              <w:jc w:val="center"/>
              <w:rPr>
                <w:rFonts w:ascii="Lato" w:hAnsi="Lato"/>
                <w:color w:val="auto"/>
              </w:rPr>
            </w:pPr>
            <w:r w:rsidRPr="00B56577">
              <w:rPr>
                <w:rFonts w:ascii="Lato" w:hAnsi="Lato"/>
              </w:rPr>
              <w:lastRenderedPageBreak/>
              <w:t>Numb</w:t>
            </w:r>
            <w:r>
              <w:rPr>
                <w:rFonts w:ascii="Lato" w:hAnsi="Lato"/>
              </w:rPr>
              <w:t>er</w:t>
            </w:r>
          </w:p>
        </w:tc>
        <w:tc>
          <w:tcPr>
            <w:tcW w:w="698" w:type="pct"/>
            <w:vAlign w:val="top"/>
          </w:tcPr>
          <w:p w14:paraId="64A59FCF" w14:textId="67AAD316" w:rsidR="001E030C" w:rsidRPr="00FB6C2F" w:rsidRDefault="001E030C" w:rsidP="001E030C">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3936" w:type="pct"/>
            <w:vAlign w:val="top"/>
          </w:tcPr>
          <w:p w14:paraId="40F0AD94" w14:textId="1F70DE11" w:rsidR="001E030C" w:rsidRPr="00B56577" w:rsidRDefault="001E030C" w:rsidP="001E030C">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1E030C" w:rsidRPr="00B56577" w14:paraId="00A712C5" w14:textId="77777777" w:rsidTr="008A7679">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45255DB6" w14:textId="03B6EE62" w:rsidR="001E030C" w:rsidRDefault="001E030C" w:rsidP="001E030C">
            <w:pPr>
              <w:pStyle w:val="TableText-Left"/>
              <w:spacing w:line="276" w:lineRule="auto"/>
              <w:jc w:val="center"/>
              <w:rPr>
                <w:rFonts w:ascii="Lato" w:hAnsi="Lato"/>
              </w:rPr>
            </w:pPr>
            <w:r>
              <w:rPr>
                <w:rFonts w:ascii="Lato" w:hAnsi="Lato"/>
                <w:color w:val="auto"/>
              </w:rPr>
              <w:t>Q34</w:t>
            </w:r>
          </w:p>
        </w:tc>
        <w:tc>
          <w:tcPr>
            <w:tcW w:w="698" w:type="pct"/>
            <w:vAlign w:val="center"/>
          </w:tcPr>
          <w:p w14:paraId="4588E31D" w14:textId="1BE3D615" w:rsidR="001E030C" w:rsidRPr="00C22E7C" w:rsidRDefault="001E030C" w:rsidP="001E030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22E7C">
              <w:rPr>
                <w:rFonts w:ascii="Lato" w:hAnsi="Lato"/>
              </w:rPr>
              <w:t>Which charging model do you think is most viable? Please provide reasons for your response and include evidence to support this where possible.</w:t>
            </w:r>
          </w:p>
        </w:tc>
        <w:tc>
          <w:tcPr>
            <w:tcW w:w="3936" w:type="pct"/>
            <w:vAlign w:val="center"/>
          </w:tcPr>
          <w:p w14:paraId="24C2E8AE" w14:textId="490C2964" w:rsidR="0036331A" w:rsidRPr="0014205C" w:rsidRDefault="0036331A" w:rsidP="0036331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We have insufficient information to offer agreement or not on any of the options</w:t>
            </w:r>
            <w:r w:rsidR="006B4281">
              <w:rPr>
                <w:rFonts w:ascii="Lato" w:hAnsi="Lato"/>
              </w:rPr>
              <w:t xml:space="preserve"> as to which is the most viable</w:t>
            </w:r>
            <w:r>
              <w:rPr>
                <w:rFonts w:ascii="Lato" w:hAnsi="Lato"/>
              </w:rPr>
              <w:t xml:space="preserve">. Refer to </w:t>
            </w:r>
            <w:r w:rsidRPr="0014205C">
              <w:rPr>
                <w:rFonts w:ascii="Lato" w:hAnsi="Lato"/>
              </w:rPr>
              <w:t>our response to Q1 and Q13.</w:t>
            </w:r>
            <w:r w:rsidR="00356BE9" w:rsidRPr="0014205C">
              <w:rPr>
                <w:rFonts w:ascii="Lato" w:hAnsi="Lato"/>
              </w:rPr>
              <w:t xml:space="preserve"> </w:t>
            </w:r>
          </w:p>
          <w:p w14:paraId="47588C07" w14:textId="63083FA4" w:rsidR="00223491" w:rsidRPr="0014205C" w:rsidRDefault="00356BE9" w:rsidP="0022349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14205C">
              <w:rPr>
                <w:rFonts w:ascii="Lato" w:hAnsi="Lato"/>
              </w:rPr>
              <w:t xml:space="preserve">We recommend </w:t>
            </w:r>
            <w:r w:rsidR="00223491" w:rsidRPr="0014205C">
              <w:rPr>
                <w:rFonts w:ascii="Lato" w:hAnsi="Lato"/>
              </w:rPr>
              <w:t xml:space="preserve">the charging methodology for current DCC users based on a “per meter” fixed charge should remain </w:t>
            </w:r>
            <w:r w:rsidR="0014205C">
              <w:rPr>
                <w:rFonts w:ascii="Lato" w:hAnsi="Lato"/>
              </w:rPr>
              <w:t>(</w:t>
            </w:r>
            <w:r w:rsidR="00EA5E8D">
              <w:rPr>
                <w:rFonts w:ascii="Lato" w:hAnsi="Lato"/>
              </w:rPr>
              <w:t>a</w:t>
            </w:r>
            <w:r w:rsidR="0014205C">
              <w:rPr>
                <w:rFonts w:ascii="Lato" w:hAnsi="Lato"/>
              </w:rPr>
              <w:t xml:space="preserve">s concluded by the </w:t>
            </w:r>
            <w:r w:rsidR="00EA5E8D">
              <w:rPr>
                <w:rFonts w:ascii="Lato" w:hAnsi="Lato"/>
              </w:rPr>
              <w:t xml:space="preserve">RY 2023/24 DCC annual charging review) </w:t>
            </w:r>
            <w:r w:rsidR="00223491" w:rsidRPr="0014205C">
              <w:rPr>
                <w:rFonts w:ascii="Lato" w:hAnsi="Lato"/>
              </w:rPr>
              <w:t>and consideration given to:</w:t>
            </w:r>
          </w:p>
          <w:p w14:paraId="7A58475B" w14:textId="0A908487" w:rsidR="00223491" w:rsidRPr="0014205C" w:rsidRDefault="00223491" w:rsidP="00223491">
            <w:pPr>
              <w:pStyle w:val="TableText-Left"/>
              <w:numPr>
                <w:ilvl w:val="0"/>
                <w:numId w:val="44"/>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14205C">
              <w:rPr>
                <w:rFonts w:ascii="Lato" w:hAnsi="Lato"/>
              </w:rPr>
              <w:t xml:space="preserve"> extending th</w:t>
            </w:r>
            <w:r w:rsidR="00EA5E8D">
              <w:rPr>
                <w:rFonts w:ascii="Lato" w:hAnsi="Lato"/>
              </w:rPr>
              <w:t>e current methodology</w:t>
            </w:r>
            <w:r w:rsidRPr="0014205C">
              <w:rPr>
                <w:rFonts w:ascii="Lato" w:hAnsi="Lato"/>
              </w:rPr>
              <w:t xml:space="preserve"> to include </w:t>
            </w:r>
            <w:r w:rsidR="00EA5E8D">
              <w:rPr>
                <w:rFonts w:ascii="Lato" w:hAnsi="Lato"/>
              </w:rPr>
              <w:t>O</w:t>
            </w:r>
            <w:r w:rsidRPr="0014205C">
              <w:rPr>
                <w:rFonts w:ascii="Lato" w:hAnsi="Lato"/>
              </w:rPr>
              <w:t xml:space="preserve">ther </w:t>
            </w:r>
            <w:r w:rsidR="00EA5E8D">
              <w:rPr>
                <w:rFonts w:ascii="Lato" w:hAnsi="Lato"/>
              </w:rPr>
              <w:t>U</w:t>
            </w:r>
            <w:r w:rsidRPr="0014205C">
              <w:rPr>
                <w:rFonts w:ascii="Lato" w:hAnsi="Lato"/>
              </w:rPr>
              <w:t>sers who do not currently have any charges levied as per the original intent and scope of DP218</w:t>
            </w:r>
            <w:r w:rsidR="00211065" w:rsidRPr="0014205C">
              <w:rPr>
                <w:rFonts w:ascii="Lato" w:hAnsi="Lato"/>
              </w:rPr>
              <w:t>. Cost reflective based on their usage and role</w:t>
            </w:r>
            <w:r w:rsidR="0040246C" w:rsidRPr="0014205C">
              <w:rPr>
                <w:rFonts w:ascii="Lato" w:hAnsi="Lato"/>
              </w:rPr>
              <w:t xml:space="preserve"> – we refer to this as Option 1a in our response to Q</w:t>
            </w:r>
            <w:r w:rsidR="0014205C" w:rsidRPr="0014205C">
              <w:rPr>
                <w:rFonts w:ascii="Lato" w:hAnsi="Lato"/>
              </w:rPr>
              <w:t>13</w:t>
            </w:r>
          </w:p>
          <w:p w14:paraId="55ADF147" w14:textId="5FDE2674" w:rsidR="00325AB2" w:rsidRPr="0014205C" w:rsidRDefault="00223491" w:rsidP="00325AB2">
            <w:pPr>
              <w:pStyle w:val="TableText-Left"/>
              <w:numPr>
                <w:ilvl w:val="0"/>
                <w:numId w:val="44"/>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14205C">
              <w:rPr>
                <w:rFonts w:ascii="Lato" w:hAnsi="Lato"/>
              </w:rPr>
              <w:t xml:space="preserve">DCC </w:t>
            </w:r>
            <w:r w:rsidR="00325AB2" w:rsidRPr="0014205C">
              <w:rPr>
                <w:rFonts w:ascii="Lato" w:hAnsi="Lato"/>
              </w:rPr>
              <w:t xml:space="preserve">data repository option should be progressed at pace for the reasons mentioned </w:t>
            </w:r>
            <w:r w:rsidR="005A26CF">
              <w:rPr>
                <w:rFonts w:ascii="Lato" w:hAnsi="Lato"/>
              </w:rPr>
              <w:t>(refer to our response to Q</w:t>
            </w:r>
            <w:r w:rsidR="00325AB2" w:rsidRPr="0014205C">
              <w:rPr>
                <w:rFonts w:ascii="Lato" w:hAnsi="Lato"/>
              </w:rPr>
              <w:t>12. This option could result in a fixed demand on the DCC network managed by the DCC themselves with traffic from all users removed, except for real-time operational activities of the DCC user.</w:t>
            </w:r>
          </w:p>
          <w:p w14:paraId="43E69EDA" w14:textId="0C5BCA89" w:rsidR="00495DBE" w:rsidRPr="0014205C" w:rsidRDefault="00383BDC" w:rsidP="00495DBE">
            <w:pPr>
              <w:pStyle w:val="TableText-Left"/>
              <w:numPr>
                <w:ilvl w:val="0"/>
                <w:numId w:val="44"/>
              </w:numPr>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If deemed appropriate </w:t>
            </w:r>
            <w:r w:rsidR="00756BA9" w:rsidRPr="0014205C">
              <w:rPr>
                <w:rFonts w:ascii="Lato" w:hAnsi="Lato"/>
              </w:rPr>
              <w:t xml:space="preserve">the annual review of the charging methodology for RY 24/25 considers all Users based on </w:t>
            </w:r>
            <w:r w:rsidR="00865201" w:rsidRPr="0014205C">
              <w:rPr>
                <w:rFonts w:ascii="Lato" w:hAnsi="Lato"/>
              </w:rPr>
              <w:t xml:space="preserve">more than </w:t>
            </w:r>
            <w:r w:rsidR="00756BA9" w:rsidRPr="0014205C">
              <w:rPr>
                <w:rFonts w:ascii="Lato" w:hAnsi="Lato"/>
              </w:rPr>
              <w:t>12 months</w:t>
            </w:r>
            <w:r w:rsidR="008C75D4">
              <w:rPr>
                <w:rFonts w:ascii="Lato" w:hAnsi="Lato"/>
              </w:rPr>
              <w:t>’</w:t>
            </w:r>
            <w:r w:rsidR="00756BA9" w:rsidRPr="0014205C">
              <w:rPr>
                <w:rFonts w:ascii="Lato" w:hAnsi="Lato"/>
              </w:rPr>
              <w:t xml:space="preserve"> worth of data and works with industry to agree the assumptions and methodology used and account for the </w:t>
            </w:r>
            <w:r w:rsidR="00495DBE" w:rsidRPr="0014205C">
              <w:rPr>
                <w:rFonts w:ascii="Lato" w:hAnsi="Lato"/>
              </w:rPr>
              <w:t>outputs from the DCC data repository which would alter the usage framework by removing the need to consider charging based on transactional volumetrics on the DCC network.</w:t>
            </w:r>
          </w:p>
          <w:p w14:paraId="5CADC8D5" w14:textId="27B663FF" w:rsidR="00356BE9" w:rsidRPr="00B56577" w:rsidRDefault="00356BE9" w:rsidP="0036331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3B491F1A" w14:textId="5BACD48B" w:rsidR="004044BA" w:rsidRDefault="00C54DE3" w:rsidP="009232F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Any charges must cover the DCC operating costs.</w:t>
            </w:r>
            <w:r w:rsidR="004044BA">
              <w:rPr>
                <w:rFonts w:ascii="Lato" w:hAnsi="Lato"/>
              </w:rPr>
              <w:t xml:space="preserve"> Driving down usage, rationing usage</w:t>
            </w:r>
            <w:r w:rsidR="00C34A24">
              <w:rPr>
                <w:rFonts w:ascii="Lato" w:hAnsi="Lato"/>
              </w:rPr>
              <w:t xml:space="preserve"> or introducing ‘peak-pricing’ may help to even out demand</w:t>
            </w:r>
            <w:r w:rsidR="00D0718E">
              <w:rPr>
                <w:rFonts w:ascii="Lato" w:hAnsi="Lato"/>
              </w:rPr>
              <w:t xml:space="preserve">. </w:t>
            </w:r>
            <w:r w:rsidR="005F03AD">
              <w:rPr>
                <w:rFonts w:ascii="Lato" w:hAnsi="Lato"/>
              </w:rPr>
              <w:t>However, a</w:t>
            </w:r>
            <w:r w:rsidR="00D32CF5">
              <w:rPr>
                <w:rFonts w:ascii="Lato" w:hAnsi="Lato"/>
              </w:rPr>
              <w:t xml:space="preserve"> subsequent reconciliation process carries high risk for an individual User as they may </w:t>
            </w:r>
            <w:r w:rsidR="00BD2F01">
              <w:rPr>
                <w:rFonts w:ascii="Lato" w:hAnsi="Lato"/>
              </w:rPr>
              <w:t>incur charges they were not expecting if another party reduces their demand or changes the way they work</w:t>
            </w:r>
            <w:r w:rsidR="00431169">
              <w:rPr>
                <w:rFonts w:ascii="Lato" w:hAnsi="Lato"/>
              </w:rPr>
              <w:t>.</w:t>
            </w:r>
          </w:p>
          <w:p w14:paraId="4AC52D70" w14:textId="7316FA64" w:rsidR="00431169" w:rsidRDefault="00431169" w:rsidP="009232F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If there are to be ‘free’ or </w:t>
            </w:r>
            <w:r w:rsidR="00C8614E">
              <w:rPr>
                <w:rFonts w:ascii="Lato" w:hAnsi="Lato"/>
              </w:rPr>
              <w:t>‘</w:t>
            </w:r>
            <w:r>
              <w:rPr>
                <w:rFonts w:ascii="Lato" w:hAnsi="Lato"/>
              </w:rPr>
              <w:t>reduced charge</w:t>
            </w:r>
            <w:r w:rsidR="00C8614E">
              <w:rPr>
                <w:rFonts w:ascii="Lato" w:hAnsi="Lato"/>
              </w:rPr>
              <w:t>’</w:t>
            </w:r>
            <w:r>
              <w:rPr>
                <w:rFonts w:ascii="Lato" w:hAnsi="Lato"/>
              </w:rPr>
              <w:t xml:space="preserve"> users</w:t>
            </w:r>
            <w:r w:rsidR="00C8614E">
              <w:rPr>
                <w:rFonts w:ascii="Lato" w:hAnsi="Lato"/>
              </w:rPr>
              <w:t>, they would not wish to be exposed to this risk.</w:t>
            </w:r>
          </w:p>
          <w:p w14:paraId="67E67249" w14:textId="77777777" w:rsidR="00461136" w:rsidRDefault="00BF6561" w:rsidP="009232F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A fixed charge </w:t>
            </w:r>
            <w:r w:rsidR="004C620D">
              <w:rPr>
                <w:rFonts w:ascii="Lato" w:hAnsi="Lato"/>
              </w:rPr>
              <w:t xml:space="preserve">process </w:t>
            </w:r>
            <w:r w:rsidR="00665672">
              <w:rPr>
                <w:rFonts w:ascii="Lato" w:hAnsi="Lato"/>
              </w:rPr>
              <w:t xml:space="preserve">for significant users is </w:t>
            </w:r>
            <w:r w:rsidR="004C620D">
              <w:rPr>
                <w:rFonts w:ascii="Lato" w:hAnsi="Lato"/>
              </w:rPr>
              <w:t>by far the simplest</w:t>
            </w:r>
            <w:r w:rsidR="0059668E">
              <w:rPr>
                <w:rFonts w:ascii="Lato" w:hAnsi="Lato"/>
              </w:rPr>
              <w:t xml:space="preserve"> with a mechanism that encourages demand levelling without compromising an individual Users ability to deliver good customer service</w:t>
            </w:r>
            <w:r w:rsidR="004C620D">
              <w:rPr>
                <w:rFonts w:ascii="Lato" w:hAnsi="Lato"/>
              </w:rPr>
              <w:t>.</w:t>
            </w:r>
          </w:p>
          <w:p w14:paraId="7AA4A510" w14:textId="77777777" w:rsidR="0028004C" w:rsidRDefault="004C620D" w:rsidP="00134F9D">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However, </w:t>
            </w:r>
            <w:r w:rsidR="00134F9D">
              <w:rPr>
                <w:rFonts w:ascii="Lato" w:hAnsi="Lato"/>
              </w:rPr>
              <w:t>t</w:t>
            </w:r>
            <w:r w:rsidR="00461136" w:rsidRPr="001A5074">
              <w:rPr>
                <w:rFonts w:ascii="Lato" w:hAnsi="Lato"/>
              </w:rPr>
              <w:t xml:space="preserve">his consultation assumes that those using the system can make decisions based on connected customers and </w:t>
            </w:r>
            <w:r w:rsidR="00461136">
              <w:rPr>
                <w:rFonts w:ascii="Lato" w:hAnsi="Lato"/>
              </w:rPr>
              <w:t xml:space="preserve">predicted </w:t>
            </w:r>
            <w:r w:rsidR="00461136" w:rsidRPr="001A5074">
              <w:rPr>
                <w:rFonts w:ascii="Lato" w:hAnsi="Lato"/>
              </w:rPr>
              <w:t>usage</w:t>
            </w:r>
            <w:r w:rsidR="00461136">
              <w:rPr>
                <w:rFonts w:ascii="Lato" w:hAnsi="Lato"/>
              </w:rPr>
              <w:t xml:space="preserve"> and set metrics</w:t>
            </w:r>
            <w:r w:rsidR="00461136" w:rsidRPr="001A5074">
              <w:rPr>
                <w:rFonts w:ascii="Lato" w:hAnsi="Lato"/>
              </w:rPr>
              <w:t xml:space="preserve">. From the Government’s Cost Benefit Analysis, Consumer savings (39%) and air quality savings (10%) make up 49% of the benefits for the smart meter case. </w:t>
            </w:r>
            <w:r w:rsidR="00461136" w:rsidRPr="00EA5E8D">
              <w:rPr>
                <w:rFonts w:ascii="Lato" w:hAnsi="Lato"/>
              </w:rPr>
              <w:t xml:space="preserve">At present, </w:t>
            </w:r>
            <w:r w:rsidR="00461136" w:rsidRPr="00EA5E8D">
              <w:rPr>
                <w:rFonts w:ascii="Lato" w:hAnsi="Lato"/>
              </w:rPr>
              <w:lastRenderedPageBreak/>
              <w:t>most costs are recovered and passed through to customers via a Regulatory mechanism, providing a level of stability and predictability for those parties</w:t>
            </w:r>
            <w:r w:rsidR="003D330C" w:rsidRPr="00EA5E8D">
              <w:rPr>
                <w:rFonts w:ascii="Lato" w:hAnsi="Lato"/>
              </w:rPr>
              <w:t xml:space="preserve"> (Suppliers and Distributors) </w:t>
            </w:r>
            <w:r w:rsidR="00893A15" w:rsidRPr="00EA5E8D">
              <w:rPr>
                <w:rFonts w:ascii="Lato" w:hAnsi="Lato"/>
              </w:rPr>
              <w:t>who are currently recovering DCC costs</w:t>
            </w:r>
            <w:r w:rsidR="00461136" w:rsidRPr="00EA5E8D">
              <w:rPr>
                <w:rFonts w:ascii="Lato" w:hAnsi="Lato"/>
              </w:rPr>
              <w:t>.</w:t>
            </w:r>
          </w:p>
          <w:p w14:paraId="39D8AD51" w14:textId="25F8F73F" w:rsidR="00C54DE3" w:rsidRDefault="0028004C" w:rsidP="009232F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The scale of DCC costs is significant. The </w:t>
            </w:r>
            <w:r w:rsidR="004B1967">
              <w:rPr>
                <w:rFonts w:ascii="Lato" w:hAnsi="Lato"/>
              </w:rPr>
              <w:t xml:space="preserve">smart meter </w:t>
            </w:r>
            <w:r w:rsidR="00506FE9">
              <w:rPr>
                <w:rFonts w:ascii="Lato" w:hAnsi="Lato"/>
              </w:rPr>
              <w:t>benefits do</w:t>
            </w:r>
            <w:r w:rsidR="004B1967">
              <w:rPr>
                <w:rFonts w:ascii="Lato" w:hAnsi="Lato"/>
              </w:rPr>
              <w:t xml:space="preserve"> not </w:t>
            </w:r>
            <w:r w:rsidR="003657A3">
              <w:rPr>
                <w:rFonts w:ascii="Lato" w:hAnsi="Lato"/>
              </w:rPr>
              <w:t>accru</w:t>
            </w:r>
            <w:r w:rsidR="00506FE9">
              <w:rPr>
                <w:rFonts w:ascii="Lato" w:hAnsi="Lato"/>
              </w:rPr>
              <w:t>e</w:t>
            </w:r>
            <w:r w:rsidR="003657A3">
              <w:rPr>
                <w:rFonts w:ascii="Lato" w:hAnsi="Lato"/>
              </w:rPr>
              <w:t xml:space="preserve"> </w:t>
            </w:r>
            <w:r w:rsidR="00506FE9">
              <w:rPr>
                <w:rFonts w:ascii="Lato" w:hAnsi="Lato"/>
              </w:rPr>
              <w:t xml:space="preserve">solely to </w:t>
            </w:r>
            <w:r w:rsidR="004B1967">
              <w:rPr>
                <w:rFonts w:ascii="Lato" w:hAnsi="Lato"/>
              </w:rPr>
              <w:t xml:space="preserve">those parties who actively </w:t>
            </w:r>
            <w:r w:rsidR="004B1967" w:rsidRPr="00EA5E8D">
              <w:rPr>
                <w:rFonts w:ascii="Lato" w:hAnsi="Lato"/>
              </w:rPr>
              <w:t>use the system</w:t>
            </w:r>
            <w:r w:rsidR="00506FE9" w:rsidRPr="00EA5E8D">
              <w:rPr>
                <w:rFonts w:ascii="Lato" w:hAnsi="Lato"/>
              </w:rPr>
              <w:t>,</w:t>
            </w:r>
            <w:r w:rsidR="004B1967" w:rsidRPr="00EA5E8D">
              <w:rPr>
                <w:rFonts w:ascii="Lato" w:hAnsi="Lato"/>
              </w:rPr>
              <w:t xml:space="preserve"> but </w:t>
            </w:r>
            <w:r w:rsidR="008C75D4">
              <w:rPr>
                <w:rFonts w:ascii="Lato" w:hAnsi="Lato"/>
              </w:rPr>
              <w:t xml:space="preserve">also to </w:t>
            </w:r>
            <w:r w:rsidR="004B1967" w:rsidRPr="00EA5E8D">
              <w:rPr>
                <w:rFonts w:ascii="Lato" w:hAnsi="Lato"/>
              </w:rPr>
              <w:t xml:space="preserve">customers and the </w:t>
            </w:r>
            <w:proofErr w:type="gramStart"/>
            <w:r w:rsidR="004B1967" w:rsidRPr="00EA5E8D">
              <w:rPr>
                <w:rFonts w:ascii="Lato" w:hAnsi="Lato"/>
              </w:rPr>
              <w:t>environment as a whole</w:t>
            </w:r>
            <w:proofErr w:type="gramEnd"/>
            <w:r w:rsidR="004B1967" w:rsidRPr="00EA5E8D">
              <w:rPr>
                <w:rFonts w:ascii="Lato" w:hAnsi="Lato"/>
              </w:rPr>
              <w:t xml:space="preserve">. </w:t>
            </w:r>
            <w:r w:rsidR="00A865AA" w:rsidRPr="00EA5E8D">
              <w:rPr>
                <w:rFonts w:ascii="Lato" w:hAnsi="Lato"/>
              </w:rPr>
              <w:t xml:space="preserve">It is difficult to see how the costs can be sustainably recovered </w:t>
            </w:r>
            <w:r w:rsidR="00EF7A3C" w:rsidRPr="00EA5E8D">
              <w:rPr>
                <w:rFonts w:ascii="Lato" w:hAnsi="Lato"/>
              </w:rPr>
              <w:t>without a longer</w:t>
            </w:r>
            <w:r w:rsidR="00506FE9" w:rsidRPr="00EA5E8D">
              <w:rPr>
                <w:rFonts w:ascii="Lato" w:hAnsi="Lato"/>
              </w:rPr>
              <w:t>-t</w:t>
            </w:r>
            <w:r w:rsidR="00EF7A3C" w:rsidRPr="00EA5E8D">
              <w:rPr>
                <w:rFonts w:ascii="Lato" w:hAnsi="Lato"/>
              </w:rPr>
              <w:t xml:space="preserve">erm </w:t>
            </w:r>
            <w:r w:rsidR="002E0434" w:rsidRPr="00EA5E8D">
              <w:rPr>
                <w:rFonts w:ascii="Lato" w:hAnsi="Lato"/>
              </w:rPr>
              <w:t xml:space="preserve">agreement with </w:t>
            </w:r>
            <w:r w:rsidR="007841B4" w:rsidRPr="00EA5E8D">
              <w:rPr>
                <w:rFonts w:ascii="Lato" w:hAnsi="Lato"/>
              </w:rPr>
              <w:t xml:space="preserve">those recovering the costs </w:t>
            </w:r>
            <w:r w:rsidR="002E0434" w:rsidRPr="00EA5E8D">
              <w:rPr>
                <w:rFonts w:ascii="Lato" w:hAnsi="Lato"/>
              </w:rPr>
              <w:t>o</w:t>
            </w:r>
            <w:r w:rsidR="00E8400D" w:rsidRPr="00EA5E8D">
              <w:rPr>
                <w:rFonts w:ascii="Lato" w:hAnsi="Lato"/>
              </w:rPr>
              <w:t>n behalf of everyone</w:t>
            </w:r>
            <w:r w:rsidR="00A5226E" w:rsidRPr="00EA5E8D">
              <w:rPr>
                <w:rFonts w:ascii="Lato" w:hAnsi="Lato"/>
              </w:rPr>
              <w:t>.</w:t>
            </w:r>
          </w:p>
          <w:p w14:paraId="2F7D9AC4" w14:textId="6EFA40E4" w:rsidR="001E030C" w:rsidRPr="00B56577" w:rsidRDefault="001E030C"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r w:rsidR="001E030C" w:rsidRPr="00B56577" w14:paraId="07C78842" w14:textId="77777777" w:rsidTr="008A7679">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4E207BB5" w14:textId="6489B1A3" w:rsidR="001E030C" w:rsidRPr="007D7F88" w:rsidRDefault="001E030C" w:rsidP="001E030C">
            <w:pPr>
              <w:pStyle w:val="TableText-Left"/>
              <w:spacing w:line="276" w:lineRule="auto"/>
              <w:jc w:val="center"/>
              <w:rPr>
                <w:rFonts w:ascii="Lato" w:hAnsi="Lato"/>
                <w:color w:val="auto"/>
              </w:rPr>
            </w:pPr>
            <w:r>
              <w:rPr>
                <w:rFonts w:ascii="Lato" w:hAnsi="Lato"/>
                <w:color w:val="auto"/>
              </w:rPr>
              <w:lastRenderedPageBreak/>
              <w:t>Q35</w:t>
            </w:r>
          </w:p>
        </w:tc>
        <w:tc>
          <w:tcPr>
            <w:tcW w:w="698" w:type="pct"/>
            <w:vAlign w:val="center"/>
          </w:tcPr>
          <w:p w14:paraId="4F36B388" w14:textId="197B3A95" w:rsidR="001E030C" w:rsidRPr="00FB6C2F" w:rsidRDefault="001E030C" w:rsidP="001E030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22E7C">
              <w:rPr>
                <w:rFonts w:ascii="Lato" w:hAnsi="Lato"/>
              </w:rPr>
              <w:t>Are there any other charging models that you think should be considered?</w:t>
            </w:r>
          </w:p>
        </w:tc>
        <w:tc>
          <w:tcPr>
            <w:tcW w:w="3936" w:type="pct"/>
            <w:vAlign w:val="center"/>
          </w:tcPr>
          <w:p w14:paraId="5ED8AA6E" w14:textId="77777777" w:rsidR="001E030C" w:rsidRDefault="004A2710"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No.</w:t>
            </w:r>
          </w:p>
          <w:p w14:paraId="158F0870" w14:textId="77777777" w:rsidR="007F5EE0" w:rsidRDefault="007F5EE0"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00924E03" w14:textId="011C8715" w:rsidR="007F5EE0" w:rsidRPr="00B56577" w:rsidRDefault="007F5EE0" w:rsidP="00EA5E8D">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r w:rsidR="001E030C" w:rsidRPr="00B56577" w14:paraId="191C56E9" w14:textId="77777777" w:rsidTr="008A7679">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804A599" w14:textId="24FFAD63" w:rsidR="001E030C" w:rsidRPr="007D7F88" w:rsidRDefault="001E030C" w:rsidP="001E030C">
            <w:pPr>
              <w:pStyle w:val="TableText-Left"/>
              <w:spacing w:line="276" w:lineRule="auto"/>
              <w:jc w:val="center"/>
              <w:rPr>
                <w:rFonts w:ascii="Lato" w:hAnsi="Lato"/>
                <w:color w:val="auto"/>
              </w:rPr>
            </w:pPr>
            <w:r>
              <w:rPr>
                <w:rFonts w:ascii="Lato" w:hAnsi="Lato"/>
                <w:color w:val="auto"/>
              </w:rPr>
              <w:t>Q36</w:t>
            </w:r>
          </w:p>
        </w:tc>
        <w:tc>
          <w:tcPr>
            <w:tcW w:w="698" w:type="pct"/>
            <w:vAlign w:val="center"/>
          </w:tcPr>
          <w:p w14:paraId="0551A1A6" w14:textId="2783364E" w:rsidR="001E030C" w:rsidRPr="00FB6C2F" w:rsidRDefault="001E030C" w:rsidP="001E030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22E7C">
              <w:rPr>
                <w:rFonts w:ascii="Lato" w:hAnsi="Lato"/>
              </w:rPr>
              <w:t>In your view, how does uncertainty about future demand affect the attractiveness of the proposed charging models?</w:t>
            </w:r>
          </w:p>
        </w:tc>
        <w:tc>
          <w:tcPr>
            <w:tcW w:w="3936" w:type="pct"/>
            <w:vAlign w:val="center"/>
          </w:tcPr>
          <w:p w14:paraId="27B30039" w14:textId="66BF23B4" w:rsidR="001E030C" w:rsidRPr="00B56577" w:rsidRDefault="004A2710"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Refer to our response to Q34.</w:t>
            </w:r>
          </w:p>
        </w:tc>
      </w:tr>
      <w:tr w:rsidR="001E030C" w:rsidRPr="00B56577" w14:paraId="56341F55" w14:textId="77777777" w:rsidTr="008A7679">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5FF52F27" w14:textId="1E90C122" w:rsidR="001E030C" w:rsidRPr="007D7F88" w:rsidRDefault="001E030C" w:rsidP="001E030C">
            <w:pPr>
              <w:pStyle w:val="TableText-Left"/>
              <w:spacing w:line="276" w:lineRule="auto"/>
              <w:jc w:val="center"/>
              <w:rPr>
                <w:rFonts w:ascii="Lato" w:hAnsi="Lato"/>
                <w:color w:val="auto"/>
              </w:rPr>
            </w:pPr>
            <w:r>
              <w:rPr>
                <w:rFonts w:ascii="Lato" w:hAnsi="Lato"/>
                <w:color w:val="auto"/>
              </w:rPr>
              <w:t>Q37</w:t>
            </w:r>
          </w:p>
        </w:tc>
        <w:tc>
          <w:tcPr>
            <w:tcW w:w="698" w:type="pct"/>
            <w:vAlign w:val="center"/>
          </w:tcPr>
          <w:p w14:paraId="5C1EC515" w14:textId="6FC70F72" w:rsidR="001E030C" w:rsidRPr="00FB6C2F" w:rsidRDefault="001E030C" w:rsidP="001E030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22E7C">
              <w:rPr>
                <w:rFonts w:ascii="Lato" w:hAnsi="Lato"/>
              </w:rPr>
              <w:t xml:space="preserve">Do you have any comments on the timing for reform implementation? </w:t>
            </w:r>
          </w:p>
        </w:tc>
        <w:tc>
          <w:tcPr>
            <w:tcW w:w="3936" w:type="pct"/>
            <w:vAlign w:val="center"/>
          </w:tcPr>
          <w:p w14:paraId="6365B313" w14:textId="6181ADE9" w:rsidR="00A5226E" w:rsidRPr="00B56577" w:rsidRDefault="004A2710" w:rsidP="00A5226E">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Yes. </w:t>
            </w:r>
            <w:proofErr w:type="gramStart"/>
            <w:r w:rsidR="00F02BE9">
              <w:rPr>
                <w:rFonts w:ascii="Lato" w:hAnsi="Lato"/>
              </w:rPr>
              <w:t>In light of</w:t>
            </w:r>
            <w:proofErr w:type="gramEnd"/>
            <w:r w:rsidR="00F02BE9">
              <w:rPr>
                <w:rFonts w:ascii="Lato" w:hAnsi="Lato"/>
              </w:rPr>
              <w:t xml:space="preserve"> the general election and purdah period. We recommend the DCC reassess </w:t>
            </w:r>
            <w:r w:rsidR="0059341E">
              <w:rPr>
                <w:rFonts w:ascii="Lato" w:hAnsi="Lato"/>
              </w:rPr>
              <w:t xml:space="preserve">their proposed timing for the review. </w:t>
            </w:r>
          </w:p>
          <w:p w14:paraId="237B8F45" w14:textId="0A45B2D2" w:rsidR="001E030C" w:rsidRPr="00B56577" w:rsidRDefault="001E030C"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bl>
    <w:p w14:paraId="3347CD4B" w14:textId="3D0D68B5" w:rsidR="00422EF3" w:rsidRPr="00B56577" w:rsidRDefault="00422EF3" w:rsidP="00EB0019">
      <w:pPr>
        <w:spacing w:before="0" w:after="0" w:line="276" w:lineRule="auto"/>
        <w:jc w:val="both"/>
        <w:rPr>
          <w:rFonts w:ascii="Lato" w:eastAsia="MS PGothic" w:hAnsi="Lato"/>
          <w:szCs w:val="22"/>
        </w:rPr>
      </w:pPr>
    </w:p>
    <w:sectPr w:rsidR="00422EF3" w:rsidRPr="00B56577" w:rsidSect="00681D59">
      <w:headerReference w:type="default" r:id="rId16"/>
      <w:footerReference w:type="default" r:id="rId17"/>
      <w:pgSz w:w="16838" w:h="11906" w:orient="landscape" w:code="9"/>
      <w:pgMar w:top="1440" w:right="1440" w:bottom="1440" w:left="1440" w:header="340" w:footer="39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FB904A" w14:textId="77777777" w:rsidR="007C6008" w:rsidRDefault="007C6008" w:rsidP="00FA568E">
      <w:pPr>
        <w:spacing w:after="0"/>
      </w:pPr>
      <w:r>
        <w:separator/>
      </w:r>
    </w:p>
  </w:endnote>
  <w:endnote w:type="continuationSeparator" w:id="0">
    <w:p w14:paraId="3DCCC2CF" w14:textId="77777777" w:rsidR="007C6008" w:rsidRDefault="007C6008" w:rsidP="00FA568E">
      <w:pPr>
        <w:spacing w:after="0"/>
      </w:pPr>
      <w:r>
        <w:continuationSeparator/>
      </w:r>
    </w:p>
  </w:endnote>
  <w:endnote w:type="continuationNotice" w:id="1">
    <w:p w14:paraId="6BC34A0E" w14:textId="77777777" w:rsidR="007C6008" w:rsidRDefault="007C600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Rounded MT Bold">
    <w:panose1 w:val="020F070403050403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ato">
    <w:charset w:val="00"/>
    <w:family w:val="swiss"/>
    <w:pitch w:val="variable"/>
    <w:sig w:usb0="E10002FF" w:usb1="5000ECFF" w:usb2="0000002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Template2"/>
      <w:tblW w:w="5123" w:type="pct"/>
      <w:tblBorders>
        <w:insideH w:val="none" w:sz="0" w:space="0" w:color="auto"/>
        <w:insideV w:val="none" w:sz="0" w:space="0" w:color="auto"/>
      </w:tblBorders>
      <w:tblLook w:val="0600" w:firstRow="0" w:lastRow="0" w:firstColumn="0" w:lastColumn="0" w:noHBand="1" w:noVBand="1"/>
    </w:tblPr>
    <w:tblGrid>
      <w:gridCol w:w="4766"/>
      <w:gridCol w:w="4766"/>
      <w:gridCol w:w="4769"/>
    </w:tblGrid>
    <w:tr w:rsidR="00E34ABA" w:rsidRPr="00F8524C" w14:paraId="35FCC390" w14:textId="77777777" w:rsidTr="002B6D09">
      <w:tc>
        <w:tcPr>
          <w:tcW w:w="1666" w:type="pct"/>
        </w:tcPr>
        <w:p w14:paraId="6FFFA15E" w14:textId="77777777" w:rsidR="002E637C" w:rsidRDefault="005F7F6C" w:rsidP="00F37854">
          <w:pPr>
            <w:pStyle w:val="Footer"/>
            <w:rPr>
              <w:sz w:val="20"/>
              <w:szCs w:val="20"/>
            </w:rPr>
          </w:pPr>
          <w:r>
            <w:rPr>
              <w:noProof/>
              <w:sz w:val="20"/>
              <w:szCs w:val="20"/>
            </w:rPr>
            <mc:AlternateContent>
              <mc:Choice Requires="wps">
                <w:drawing>
                  <wp:anchor distT="0" distB="0" distL="114300" distR="114300" simplePos="0" relativeHeight="251658240" behindDoc="0" locked="0" layoutInCell="0" allowOverlap="1" wp14:anchorId="76A40466" wp14:editId="1BA14076">
                    <wp:simplePos x="0" y="0"/>
                    <wp:positionH relativeFrom="page">
                      <wp:posOffset>0</wp:posOffset>
                    </wp:positionH>
                    <wp:positionV relativeFrom="page">
                      <wp:posOffset>7096125</wp:posOffset>
                    </wp:positionV>
                    <wp:extent cx="10692130" cy="273050"/>
                    <wp:effectExtent l="0" t="0" r="0" b="12700"/>
                    <wp:wrapNone/>
                    <wp:docPr id="2" name="MSIPCM7d6245f08f0e738f83707a39" descr="{&quot;HashCode&quot;:2052356286,&quot;Height&quot;:595.0,&quot;Width&quot;:841.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213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49A00C1" w14:textId="7EA575DB" w:rsidR="005F7F6C" w:rsidRPr="005F7F6C" w:rsidRDefault="005F7F6C" w:rsidP="005F7F6C">
                                <w:pPr>
                                  <w:spacing w:before="0" w:after="0"/>
                                  <w:jc w:val="center"/>
                                  <w:rPr>
                                    <w:rFonts w:ascii="Calibri" w:hAnsi="Calibri" w:cs="Calibri"/>
                                    <w:color w:val="FF0000"/>
                                  </w:rPr>
                                </w:pPr>
                                <w:r w:rsidRPr="005F7F6C">
                                  <w:rPr>
                                    <w:rFonts w:ascii="Calibri" w:hAnsi="Calibri" w:cs="Calibri"/>
                                    <w:color w:val="FF0000"/>
                                  </w:rPr>
                                  <w:t>DCC Controlled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6A40466" id="_x0000_t202" coordsize="21600,21600" o:spt="202" path="m,l,21600r21600,l21600,xe">
                    <v:stroke joinstyle="miter"/>
                    <v:path gradientshapeok="t" o:connecttype="rect"/>
                  </v:shapetype>
                  <v:shape id="MSIPCM7d6245f08f0e738f83707a39" o:spid="_x0000_s1026" type="#_x0000_t202" alt="{&quot;HashCode&quot;:2052356286,&quot;Height&quot;:595.0,&quot;Width&quot;:841.0,&quot;Placement&quot;:&quot;Footer&quot;,&quot;Index&quot;:&quot;Primary&quot;,&quot;Section&quot;:1,&quot;Top&quot;:0.0,&quot;Left&quot;:0.0}" style="position:absolute;margin-left:0;margin-top:558.75pt;width:841.9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" o:allowincell="f" filled="f" stroked="f" strokeweight=".5pt">
                    <v:textbox inset=",0,,0">
                      <w:txbxContent>
                        <w:p w14:paraId="049A00C1" w14:textId="7EA575DB" w:rsidR="005F7F6C" w:rsidRPr="005F7F6C" w:rsidRDefault="005F7F6C" w:rsidP="005F7F6C">
                          <w:pPr>
                            <w:spacing w:before="0" w:after="0"/>
                            <w:jc w:val="center"/>
                            <w:rPr>
                              <w:rFonts w:ascii="Calibri" w:hAnsi="Calibri" w:cs="Calibri"/>
                              <w:color w:val="FF0000"/>
                            </w:rPr>
                          </w:pPr>
                          <w:r w:rsidRPr="005F7F6C">
                            <w:rPr>
                              <w:rFonts w:ascii="Calibri" w:hAnsi="Calibri" w:cs="Calibri"/>
                              <w:color w:val="FF0000"/>
                            </w:rPr>
                            <w:t>DCC Controlled</w:t>
                          </w:r>
                        </w:p>
                      </w:txbxContent>
                    </v:textbox>
                    <w10:wrap anchorx="page" anchory="page"/>
                  </v:shape>
                </w:pict>
              </mc:Fallback>
            </mc:AlternateContent>
          </w:r>
          <w:r w:rsidR="00DA6039">
            <w:rPr>
              <w:noProof/>
              <w:sz w:val="20"/>
              <w:szCs w:val="20"/>
            </w:rPr>
            <w:t>DP218 Request fo</w:t>
          </w:r>
          <w:r w:rsidR="008D67C5">
            <w:rPr>
              <w:noProof/>
              <w:sz w:val="20"/>
              <w:szCs w:val="20"/>
            </w:rPr>
            <w:t>r</w:t>
          </w:r>
          <w:r w:rsidR="00DA6039">
            <w:rPr>
              <w:noProof/>
              <w:sz w:val="20"/>
              <w:szCs w:val="20"/>
            </w:rPr>
            <w:t xml:space="preserve"> Information</w:t>
          </w:r>
          <w:r w:rsidR="004D59CB">
            <w:rPr>
              <w:sz w:val="20"/>
              <w:szCs w:val="20"/>
            </w:rPr>
            <w:t xml:space="preserve"> </w:t>
          </w:r>
        </w:p>
        <w:p w14:paraId="2DEE08F5" w14:textId="4C79996C" w:rsidR="00E34ABA" w:rsidRDefault="004D59CB" w:rsidP="00F37854">
          <w:pPr>
            <w:pStyle w:val="Footer"/>
            <w:rPr>
              <w:sz w:val="20"/>
              <w:szCs w:val="20"/>
            </w:rPr>
          </w:pPr>
          <w:r>
            <w:rPr>
              <w:sz w:val="20"/>
              <w:szCs w:val="20"/>
            </w:rPr>
            <w:t>Response Template</w:t>
          </w:r>
        </w:p>
      </w:tc>
      <w:tc>
        <w:tcPr>
          <w:tcW w:w="1666" w:type="pct"/>
        </w:tcPr>
        <w:p w14:paraId="1FDA7819" w14:textId="6B89DF94" w:rsidR="00E34ABA" w:rsidRDefault="00A8498E" w:rsidP="002B6D09">
          <w:pPr>
            <w:pStyle w:val="Footer"/>
            <w:jc w:val="center"/>
            <w:rPr>
              <w:sz w:val="20"/>
              <w:szCs w:val="20"/>
            </w:rPr>
          </w:pPr>
          <w:r>
            <w:rPr>
              <w:sz w:val="20"/>
              <w:szCs w:val="20"/>
            </w:rPr>
            <w:fldChar w:fldCharType="begin"/>
          </w:r>
          <w:r>
            <w:rPr>
              <w:sz w:val="20"/>
              <w:szCs w:val="20"/>
            </w:rPr>
            <w:instrText xml:space="preserve"> REF Classification \h  \* MERGEFORMAT </w:instrText>
          </w:r>
          <w:r>
            <w:rPr>
              <w:sz w:val="20"/>
              <w:szCs w:val="20"/>
            </w:rPr>
          </w:r>
          <w:r>
            <w:rPr>
              <w:sz w:val="20"/>
              <w:szCs w:val="20"/>
            </w:rPr>
            <w:fldChar w:fldCharType="separate"/>
          </w:r>
          <w:r w:rsidRPr="00967ED8">
            <w:t xml:space="preserve">DCC </w:t>
          </w:r>
          <w:r>
            <w:rPr>
              <w:sz w:val="20"/>
              <w:szCs w:val="20"/>
            </w:rPr>
            <w:fldChar w:fldCharType="end"/>
          </w:r>
          <w:r w:rsidR="00884584">
            <w:rPr>
              <w:sz w:val="20"/>
              <w:szCs w:val="20"/>
            </w:rPr>
            <w:t>PUBLIC</w:t>
          </w:r>
        </w:p>
      </w:tc>
      <w:tc>
        <w:tcPr>
          <w:tcW w:w="1667" w:type="pct"/>
        </w:tcPr>
        <w:p w14:paraId="1B3E0970" w14:textId="680142D7" w:rsidR="00E34ABA" w:rsidRPr="00F8524C" w:rsidRDefault="00E34ABA" w:rsidP="00F37854">
          <w:pPr>
            <w:pStyle w:val="Footer"/>
            <w:jc w:val="right"/>
            <w:rPr>
              <w:sz w:val="20"/>
              <w:szCs w:val="20"/>
            </w:rPr>
          </w:pPr>
          <w:r w:rsidRPr="00F8524C">
            <w:rPr>
              <w:sz w:val="20"/>
              <w:szCs w:val="20"/>
            </w:rPr>
            <w:t xml:space="preserve">Page </w:t>
          </w:r>
          <w:r w:rsidRPr="00F8524C">
            <w:rPr>
              <w:bCs/>
              <w:sz w:val="20"/>
              <w:szCs w:val="20"/>
            </w:rPr>
            <w:fldChar w:fldCharType="begin"/>
          </w:r>
          <w:r w:rsidRPr="00F8524C">
            <w:rPr>
              <w:bCs/>
              <w:sz w:val="20"/>
              <w:szCs w:val="20"/>
            </w:rPr>
            <w:instrText xml:space="preserve"> PAGE </w:instrText>
          </w:r>
          <w:r w:rsidRPr="00F8524C">
            <w:rPr>
              <w:bCs/>
              <w:sz w:val="20"/>
              <w:szCs w:val="20"/>
            </w:rPr>
            <w:fldChar w:fldCharType="separate"/>
          </w:r>
          <w:r w:rsidR="00A8498E">
            <w:rPr>
              <w:bCs/>
              <w:noProof/>
              <w:sz w:val="20"/>
              <w:szCs w:val="20"/>
            </w:rPr>
            <w:t>7</w:t>
          </w:r>
          <w:r w:rsidRPr="00F8524C">
            <w:rPr>
              <w:bCs/>
              <w:sz w:val="20"/>
              <w:szCs w:val="20"/>
            </w:rPr>
            <w:fldChar w:fldCharType="end"/>
          </w:r>
          <w:r w:rsidRPr="00F8524C">
            <w:rPr>
              <w:sz w:val="20"/>
              <w:szCs w:val="20"/>
            </w:rPr>
            <w:t xml:space="preserve"> of </w:t>
          </w:r>
          <w:r w:rsidRPr="00F8524C">
            <w:rPr>
              <w:bCs/>
              <w:sz w:val="20"/>
              <w:szCs w:val="20"/>
            </w:rPr>
            <w:fldChar w:fldCharType="begin"/>
          </w:r>
          <w:r w:rsidRPr="00F8524C">
            <w:rPr>
              <w:bCs/>
              <w:sz w:val="20"/>
              <w:szCs w:val="20"/>
            </w:rPr>
            <w:instrText xml:space="preserve"> NUMPAGES  </w:instrText>
          </w:r>
          <w:r w:rsidRPr="00F8524C">
            <w:rPr>
              <w:bCs/>
              <w:sz w:val="20"/>
              <w:szCs w:val="20"/>
            </w:rPr>
            <w:fldChar w:fldCharType="separate"/>
          </w:r>
          <w:r w:rsidR="00A8498E">
            <w:rPr>
              <w:bCs/>
              <w:noProof/>
              <w:sz w:val="20"/>
              <w:szCs w:val="20"/>
            </w:rPr>
            <w:t>7</w:t>
          </w:r>
          <w:r w:rsidRPr="00F8524C">
            <w:rPr>
              <w:bCs/>
              <w:sz w:val="20"/>
              <w:szCs w:val="20"/>
            </w:rPr>
            <w:fldChar w:fldCharType="end"/>
          </w:r>
        </w:p>
      </w:tc>
    </w:tr>
  </w:tbl>
  <w:p w14:paraId="3CE735CB" w14:textId="77777777" w:rsidR="00E34ABA" w:rsidRPr="00B83C3C" w:rsidRDefault="00E34ABA" w:rsidP="00F37854">
    <w:pPr>
      <w:pStyle w:val="Footer"/>
      <w:jc w:val="both"/>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87F077" w14:textId="77777777" w:rsidR="007C6008" w:rsidRDefault="007C6008" w:rsidP="00FA568E">
      <w:pPr>
        <w:spacing w:after="0"/>
      </w:pPr>
      <w:r>
        <w:separator/>
      </w:r>
    </w:p>
  </w:footnote>
  <w:footnote w:type="continuationSeparator" w:id="0">
    <w:p w14:paraId="03848B8F" w14:textId="77777777" w:rsidR="007C6008" w:rsidRDefault="007C6008" w:rsidP="00FA568E">
      <w:pPr>
        <w:spacing w:after="0"/>
      </w:pPr>
      <w:r>
        <w:continuationSeparator/>
      </w:r>
    </w:p>
  </w:footnote>
  <w:footnote w:type="continuationNotice" w:id="1">
    <w:p w14:paraId="5B91D654" w14:textId="77777777" w:rsidR="007C6008" w:rsidRDefault="007C600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3282D1" w14:textId="7CEA6EDC" w:rsidR="0052508C" w:rsidRPr="00B56577" w:rsidRDefault="0052508C" w:rsidP="0052508C">
    <w:pPr>
      <w:pStyle w:val="DocumentControlHeading"/>
      <w:rPr>
        <w:rFonts w:ascii="Lato" w:hAnsi="Lato"/>
      </w:rPr>
    </w:pPr>
    <w:r w:rsidRPr="00B56577">
      <w:rPr>
        <w:rFonts w:ascii="Lato" w:hAnsi="Lato"/>
      </w:rPr>
      <w:t>Response to</w:t>
    </w:r>
    <w:r w:rsidR="00201D17" w:rsidRPr="00B56577">
      <w:rPr>
        <w:rFonts w:ascii="Lato" w:hAnsi="Lato"/>
      </w:rPr>
      <w:t xml:space="preserve"> </w:t>
    </w:r>
    <w:r w:rsidR="00DA6039" w:rsidRPr="00DA6039">
      <w:rPr>
        <w:rFonts w:ascii="Lato" w:hAnsi="Lato"/>
      </w:rPr>
      <w:t>DP218 ‘Review of the SEC Charging Methodology’</w:t>
    </w:r>
    <w:r w:rsidR="00DA6039">
      <w:rPr>
        <w:rFonts w:ascii="Lato" w:hAnsi="Lato"/>
      </w:rPr>
      <w:t xml:space="preserve"> </w:t>
    </w:r>
    <w:r w:rsidR="009A718D">
      <w:rPr>
        <w:rFonts w:ascii="Lato" w:hAnsi="Lato"/>
      </w:rPr>
      <w:t>RFI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2BBE77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pStyle w:val="Heading9"/>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236130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3EEEB7E"/>
    <w:lvl w:ilvl="0">
      <w:start w:val="1"/>
      <w:numFmt w:val="decimal"/>
      <w:pStyle w:val="ListNumber4"/>
      <w:lvlText w:val="%1."/>
      <w:lvlJc w:val="left"/>
      <w:pPr>
        <w:tabs>
          <w:tab w:val="num" w:pos="1209"/>
        </w:tabs>
        <w:ind w:left="1209" w:hanging="360"/>
      </w:pPr>
    </w:lvl>
  </w:abstractNum>
  <w:abstractNum w:abstractNumId="3" w15:restartNumberingAfterBreak="0">
    <w:nsid w:val="001F5466"/>
    <w:multiLevelType w:val="hybridMultilevel"/>
    <w:tmpl w:val="3ABCA62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9614D6"/>
    <w:multiLevelType w:val="hybridMultilevel"/>
    <w:tmpl w:val="1C4275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53F7602"/>
    <w:multiLevelType w:val="hybridMultilevel"/>
    <w:tmpl w:val="073866DC"/>
    <w:lvl w:ilvl="0" w:tplc="7EF610F4">
      <w:start w:val="1"/>
      <w:numFmt w:val="bullet"/>
      <w:pStyle w:val="CaseStudyQuoteBullets"/>
      <w:lvlText w:val=""/>
      <w:lvlJc w:val="left"/>
      <w:pPr>
        <w:ind w:left="360" w:hanging="360"/>
      </w:pPr>
      <w:rPr>
        <w:rFonts w:ascii="Wingdings" w:hAnsi="Wingdings" w:hint="default"/>
        <w:b w:val="0"/>
        <w:bCs w:val="0"/>
        <w:i w:val="0"/>
        <w:iCs w:val="0"/>
        <w:color w:val="auto"/>
        <w:sz w:val="28"/>
        <w:szCs w:val="28"/>
      </w:rPr>
    </w:lvl>
    <w:lvl w:ilvl="1" w:tplc="FFC82C90">
      <w:start w:val="1"/>
      <w:numFmt w:val="bullet"/>
      <w:lvlText w:val="o"/>
      <w:lvlJc w:val="left"/>
      <w:pPr>
        <w:ind w:left="1440" w:hanging="360"/>
      </w:pPr>
      <w:rPr>
        <w:rFonts w:ascii="Courier New" w:hAnsi="Courier New" w:hint="default"/>
      </w:rPr>
    </w:lvl>
    <w:lvl w:ilvl="2" w:tplc="FA6829DC" w:tentative="1">
      <w:start w:val="1"/>
      <w:numFmt w:val="bullet"/>
      <w:lvlText w:val=""/>
      <w:lvlJc w:val="left"/>
      <w:pPr>
        <w:ind w:left="2160" w:hanging="360"/>
      </w:pPr>
      <w:rPr>
        <w:rFonts w:ascii="Wingdings" w:hAnsi="Wingdings" w:hint="default"/>
      </w:rPr>
    </w:lvl>
    <w:lvl w:ilvl="3" w:tplc="49E2ED40" w:tentative="1">
      <w:start w:val="1"/>
      <w:numFmt w:val="bullet"/>
      <w:lvlText w:val=""/>
      <w:lvlJc w:val="left"/>
      <w:pPr>
        <w:ind w:left="2880" w:hanging="360"/>
      </w:pPr>
      <w:rPr>
        <w:rFonts w:ascii="Symbol" w:hAnsi="Symbol" w:hint="default"/>
      </w:rPr>
    </w:lvl>
    <w:lvl w:ilvl="4" w:tplc="48C66B2A" w:tentative="1">
      <w:start w:val="1"/>
      <w:numFmt w:val="bullet"/>
      <w:lvlText w:val="o"/>
      <w:lvlJc w:val="left"/>
      <w:pPr>
        <w:ind w:left="3600" w:hanging="360"/>
      </w:pPr>
      <w:rPr>
        <w:rFonts w:ascii="Courier New" w:hAnsi="Courier New" w:hint="default"/>
      </w:rPr>
    </w:lvl>
    <w:lvl w:ilvl="5" w:tplc="8D8CBA3E" w:tentative="1">
      <w:start w:val="1"/>
      <w:numFmt w:val="bullet"/>
      <w:lvlText w:val=""/>
      <w:lvlJc w:val="left"/>
      <w:pPr>
        <w:ind w:left="4320" w:hanging="360"/>
      </w:pPr>
      <w:rPr>
        <w:rFonts w:ascii="Wingdings" w:hAnsi="Wingdings" w:hint="default"/>
      </w:rPr>
    </w:lvl>
    <w:lvl w:ilvl="6" w:tplc="61405850" w:tentative="1">
      <w:start w:val="1"/>
      <w:numFmt w:val="bullet"/>
      <w:lvlText w:val=""/>
      <w:lvlJc w:val="left"/>
      <w:pPr>
        <w:ind w:left="5040" w:hanging="360"/>
      </w:pPr>
      <w:rPr>
        <w:rFonts w:ascii="Symbol" w:hAnsi="Symbol" w:hint="default"/>
      </w:rPr>
    </w:lvl>
    <w:lvl w:ilvl="7" w:tplc="56AC94DC" w:tentative="1">
      <w:start w:val="1"/>
      <w:numFmt w:val="bullet"/>
      <w:lvlText w:val="o"/>
      <w:lvlJc w:val="left"/>
      <w:pPr>
        <w:ind w:left="5760" w:hanging="360"/>
      </w:pPr>
      <w:rPr>
        <w:rFonts w:ascii="Courier New" w:hAnsi="Courier New" w:hint="default"/>
      </w:rPr>
    </w:lvl>
    <w:lvl w:ilvl="8" w:tplc="5C96835E" w:tentative="1">
      <w:start w:val="1"/>
      <w:numFmt w:val="bullet"/>
      <w:lvlText w:val=""/>
      <w:lvlJc w:val="left"/>
      <w:pPr>
        <w:ind w:left="6480" w:hanging="360"/>
      </w:pPr>
      <w:rPr>
        <w:rFonts w:ascii="Wingdings" w:hAnsi="Wingdings" w:hint="default"/>
      </w:rPr>
    </w:lvl>
  </w:abstractNum>
  <w:abstractNum w:abstractNumId="6" w15:restartNumberingAfterBreak="0">
    <w:nsid w:val="08C819DC"/>
    <w:multiLevelType w:val="hybridMultilevel"/>
    <w:tmpl w:val="6FCC5006"/>
    <w:lvl w:ilvl="0" w:tplc="729E8B0A">
      <w:start w:val="1"/>
      <w:numFmt w:val="bullet"/>
      <w:lvlText w:val=""/>
      <w:lvlJc w:val="left"/>
      <w:pPr>
        <w:tabs>
          <w:tab w:val="num" w:pos="720"/>
        </w:tabs>
        <w:ind w:left="720" w:hanging="360"/>
      </w:pPr>
      <w:rPr>
        <w:rFonts w:ascii="Wingdings" w:hAnsi="Wingdings" w:hint="default"/>
      </w:rPr>
    </w:lvl>
    <w:lvl w:ilvl="1" w:tplc="9224F94A" w:tentative="1">
      <w:start w:val="1"/>
      <w:numFmt w:val="bullet"/>
      <w:lvlText w:val=""/>
      <w:lvlJc w:val="left"/>
      <w:pPr>
        <w:tabs>
          <w:tab w:val="num" w:pos="1440"/>
        </w:tabs>
        <w:ind w:left="1440" w:hanging="360"/>
      </w:pPr>
      <w:rPr>
        <w:rFonts w:ascii="Wingdings" w:hAnsi="Wingdings" w:hint="default"/>
      </w:rPr>
    </w:lvl>
    <w:lvl w:ilvl="2" w:tplc="3C668806" w:tentative="1">
      <w:start w:val="1"/>
      <w:numFmt w:val="bullet"/>
      <w:lvlText w:val=""/>
      <w:lvlJc w:val="left"/>
      <w:pPr>
        <w:tabs>
          <w:tab w:val="num" w:pos="2160"/>
        </w:tabs>
        <w:ind w:left="2160" w:hanging="360"/>
      </w:pPr>
      <w:rPr>
        <w:rFonts w:ascii="Wingdings" w:hAnsi="Wingdings" w:hint="default"/>
      </w:rPr>
    </w:lvl>
    <w:lvl w:ilvl="3" w:tplc="E40EA7D0" w:tentative="1">
      <w:start w:val="1"/>
      <w:numFmt w:val="bullet"/>
      <w:lvlText w:val=""/>
      <w:lvlJc w:val="left"/>
      <w:pPr>
        <w:tabs>
          <w:tab w:val="num" w:pos="2880"/>
        </w:tabs>
        <w:ind w:left="2880" w:hanging="360"/>
      </w:pPr>
      <w:rPr>
        <w:rFonts w:ascii="Wingdings" w:hAnsi="Wingdings" w:hint="default"/>
      </w:rPr>
    </w:lvl>
    <w:lvl w:ilvl="4" w:tplc="48544334" w:tentative="1">
      <w:start w:val="1"/>
      <w:numFmt w:val="bullet"/>
      <w:lvlText w:val=""/>
      <w:lvlJc w:val="left"/>
      <w:pPr>
        <w:tabs>
          <w:tab w:val="num" w:pos="3600"/>
        </w:tabs>
        <w:ind w:left="3600" w:hanging="360"/>
      </w:pPr>
      <w:rPr>
        <w:rFonts w:ascii="Wingdings" w:hAnsi="Wingdings" w:hint="default"/>
      </w:rPr>
    </w:lvl>
    <w:lvl w:ilvl="5" w:tplc="B1A6BE3C" w:tentative="1">
      <w:start w:val="1"/>
      <w:numFmt w:val="bullet"/>
      <w:lvlText w:val=""/>
      <w:lvlJc w:val="left"/>
      <w:pPr>
        <w:tabs>
          <w:tab w:val="num" w:pos="4320"/>
        </w:tabs>
        <w:ind w:left="4320" w:hanging="360"/>
      </w:pPr>
      <w:rPr>
        <w:rFonts w:ascii="Wingdings" w:hAnsi="Wingdings" w:hint="default"/>
      </w:rPr>
    </w:lvl>
    <w:lvl w:ilvl="6" w:tplc="B0986B9A" w:tentative="1">
      <w:start w:val="1"/>
      <w:numFmt w:val="bullet"/>
      <w:lvlText w:val=""/>
      <w:lvlJc w:val="left"/>
      <w:pPr>
        <w:tabs>
          <w:tab w:val="num" w:pos="5040"/>
        </w:tabs>
        <w:ind w:left="5040" w:hanging="360"/>
      </w:pPr>
      <w:rPr>
        <w:rFonts w:ascii="Wingdings" w:hAnsi="Wingdings" w:hint="default"/>
      </w:rPr>
    </w:lvl>
    <w:lvl w:ilvl="7" w:tplc="73DC33AA" w:tentative="1">
      <w:start w:val="1"/>
      <w:numFmt w:val="bullet"/>
      <w:lvlText w:val=""/>
      <w:lvlJc w:val="left"/>
      <w:pPr>
        <w:tabs>
          <w:tab w:val="num" w:pos="5760"/>
        </w:tabs>
        <w:ind w:left="5760" w:hanging="360"/>
      </w:pPr>
      <w:rPr>
        <w:rFonts w:ascii="Wingdings" w:hAnsi="Wingdings" w:hint="default"/>
      </w:rPr>
    </w:lvl>
    <w:lvl w:ilvl="8" w:tplc="89227B8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96DB1"/>
    <w:multiLevelType w:val="hybridMultilevel"/>
    <w:tmpl w:val="32705722"/>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73D41CC"/>
    <w:multiLevelType w:val="multilevel"/>
    <w:tmpl w:val="C5C485AE"/>
    <w:lvl w:ilvl="0">
      <w:start w:val="1"/>
      <w:numFmt w:val="lowerLetter"/>
      <w:pStyle w:val="ListLettering"/>
      <w:lvlText w:val="%1."/>
      <w:lvlJc w:val="left"/>
      <w:pPr>
        <w:ind w:left="1211" w:hanging="360"/>
      </w:pPr>
      <w:rPr>
        <w:rFonts w:hint="default"/>
        <w:b w:val="0"/>
        <w:bCs w:val="0"/>
        <w:i w:val="0"/>
        <w:iCs w:val="0"/>
        <w:color w:val="auto"/>
        <w:sz w:val="22"/>
        <w:szCs w:val="22"/>
      </w:rPr>
    </w:lvl>
    <w:lvl w:ilvl="1">
      <w:start w:val="1"/>
      <w:numFmt w:val="none"/>
      <w:suff w:val="nothing"/>
      <w:lvlText w:val=""/>
      <w:lvlJc w:val="left"/>
      <w:pPr>
        <w:ind w:left="-397" w:firstLine="0"/>
      </w:pPr>
      <w:rPr>
        <w:rFonts w:hint="default"/>
      </w:rPr>
    </w:lvl>
    <w:lvl w:ilvl="2">
      <w:start w:val="1"/>
      <w:numFmt w:val="none"/>
      <w:suff w:val="nothing"/>
      <w:lvlText w:val=""/>
      <w:lvlJc w:val="left"/>
      <w:pPr>
        <w:ind w:left="-397" w:firstLine="0"/>
      </w:pPr>
      <w:rPr>
        <w:rFonts w:hint="default"/>
      </w:rPr>
    </w:lvl>
    <w:lvl w:ilvl="3">
      <w:start w:val="1"/>
      <w:numFmt w:val="none"/>
      <w:suff w:val="nothing"/>
      <w:lvlText w:val=""/>
      <w:lvlJc w:val="left"/>
      <w:pPr>
        <w:ind w:left="-397" w:firstLine="0"/>
      </w:pPr>
      <w:rPr>
        <w:rFonts w:hint="default"/>
      </w:rPr>
    </w:lvl>
    <w:lvl w:ilvl="4">
      <w:start w:val="1"/>
      <w:numFmt w:val="none"/>
      <w:suff w:val="nothing"/>
      <w:lvlText w:val=""/>
      <w:lvlJc w:val="left"/>
      <w:pPr>
        <w:ind w:left="-397" w:firstLine="0"/>
      </w:pPr>
      <w:rPr>
        <w:rFonts w:hint="default"/>
      </w:rPr>
    </w:lvl>
    <w:lvl w:ilvl="5">
      <w:start w:val="1"/>
      <w:numFmt w:val="none"/>
      <w:suff w:val="nothing"/>
      <w:lvlText w:val=""/>
      <w:lvlJc w:val="left"/>
      <w:pPr>
        <w:ind w:left="-397" w:firstLine="0"/>
      </w:pPr>
      <w:rPr>
        <w:rFonts w:hint="default"/>
      </w:rPr>
    </w:lvl>
    <w:lvl w:ilvl="6">
      <w:start w:val="1"/>
      <w:numFmt w:val="none"/>
      <w:suff w:val="nothing"/>
      <w:lvlText w:val=""/>
      <w:lvlJc w:val="left"/>
      <w:pPr>
        <w:ind w:left="-397" w:firstLine="0"/>
      </w:pPr>
      <w:rPr>
        <w:rFonts w:hint="default"/>
      </w:rPr>
    </w:lvl>
    <w:lvl w:ilvl="7">
      <w:start w:val="1"/>
      <w:numFmt w:val="none"/>
      <w:suff w:val="nothing"/>
      <w:lvlText w:val=""/>
      <w:lvlJc w:val="left"/>
      <w:pPr>
        <w:ind w:left="-397" w:firstLine="0"/>
      </w:pPr>
      <w:rPr>
        <w:rFonts w:hint="default"/>
      </w:rPr>
    </w:lvl>
    <w:lvl w:ilvl="8">
      <w:start w:val="1"/>
      <w:numFmt w:val="none"/>
      <w:suff w:val="nothing"/>
      <w:lvlText w:val=""/>
      <w:lvlJc w:val="left"/>
      <w:pPr>
        <w:ind w:left="-397" w:firstLine="0"/>
      </w:pPr>
      <w:rPr>
        <w:rFonts w:hint="default"/>
      </w:rPr>
    </w:lvl>
  </w:abstractNum>
  <w:abstractNum w:abstractNumId="9" w15:restartNumberingAfterBreak="0">
    <w:nsid w:val="1A0D1E0E"/>
    <w:multiLevelType w:val="hybridMultilevel"/>
    <w:tmpl w:val="6360DDA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114696"/>
    <w:multiLevelType w:val="hybridMultilevel"/>
    <w:tmpl w:val="73028984"/>
    <w:lvl w:ilvl="0" w:tplc="08090005">
      <w:start w:val="1"/>
      <w:numFmt w:val="bullet"/>
      <w:lvlText w:val=""/>
      <w:lvlJc w:val="left"/>
      <w:pPr>
        <w:ind w:left="783" w:hanging="360"/>
      </w:pPr>
      <w:rPr>
        <w:rFonts w:ascii="Wingdings" w:hAnsi="Wingdings"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11" w15:restartNumberingAfterBreak="0">
    <w:nsid w:val="27CF6309"/>
    <w:multiLevelType w:val="multilevel"/>
    <w:tmpl w:val="EC5E9312"/>
    <w:lvl w:ilvl="0">
      <w:start w:val="1"/>
      <w:numFmt w:val="decimal"/>
      <w:pStyle w:val="ListNumber"/>
      <w:lvlText w:val="%1."/>
      <w:lvlJc w:val="left"/>
      <w:pPr>
        <w:tabs>
          <w:tab w:val="num" w:pos="248"/>
        </w:tabs>
        <w:ind w:left="589" w:hanging="851"/>
      </w:pPr>
      <w:rPr>
        <w:rFonts w:hint="default"/>
        <w:b/>
        <w:color w:val="auto"/>
        <w:sz w:val="22"/>
        <w:szCs w:val="22"/>
      </w:rPr>
    </w:lvl>
    <w:lvl w:ilvl="1">
      <w:start w:val="1"/>
      <w:numFmt w:val="decimal"/>
      <w:pStyle w:val="ListNumber2"/>
      <w:lvlText w:val="%1.%2."/>
      <w:lvlJc w:val="left"/>
      <w:pPr>
        <w:tabs>
          <w:tab w:val="num" w:pos="589"/>
        </w:tabs>
        <w:ind w:left="1439" w:hanging="850"/>
      </w:pPr>
      <w:rPr>
        <w:rFonts w:hint="default"/>
        <w:color w:val="auto"/>
        <w:sz w:val="22"/>
        <w:szCs w:val="22"/>
      </w:rPr>
    </w:lvl>
    <w:lvl w:ilvl="2">
      <w:start w:val="1"/>
      <w:numFmt w:val="decimal"/>
      <w:pStyle w:val="ListNumber3"/>
      <w:lvlText w:val="%1.%2.%3."/>
      <w:lvlJc w:val="left"/>
      <w:pPr>
        <w:tabs>
          <w:tab w:val="num" w:pos="-31680"/>
        </w:tabs>
        <w:ind w:left="2290" w:hanging="851"/>
      </w:pPr>
      <w:rPr>
        <w:rFonts w:hint="default"/>
        <w:color w:val="auto"/>
      </w:rPr>
    </w:lvl>
    <w:lvl w:ilvl="3">
      <w:start w:val="1"/>
      <w:numFmt w:val="decimal"/>
      <w:lvlText w:val="%1.%2.%3.%4."/>
      <w:lvlJc w:val="left"/>
      <w:pPr>
        <w:ind w:left="689" w:hanging="648"/>
      </w:pPr>
      <w:rPr>
        <w:rFonts w:hint="default"/>
      </w:rPr>
    </w:lvl>
    <w:lvl w:ilvl="4">
      <w:start w:val="1"/>
      <w:numFmt w:val="decimal"/>
      <w:lvlText w:val="%1.%2.%3.%4.%5."/>
      <w:lvlJc w:val="left"/>
      <w:pPr>
        <w:ind w:left="1193" w:hanging="792"/>
      </w:pPr>
      <w:rPr>
        <w:rFonts w:hint="default"/>
      </w:rPr>
    </w:lvl>
    <w:lvl w:ilvl="5">
      <w:start w:val="1"/>
      <w:numFmt w:val="decimal"/>
      <w:lvlText w:val="%1.%2.%3.%4.%5.%6."/>
      <w:lvlJc w:val="left"/>
      <w:pPr>
        <w:ind w:left="1697" w:hanging="936"/>
      </w:pPr>
      <w:rPr>
        <w:rFonts w:hint="default"/>
      </w:rPr>
    </w:lvl>
    <w:lvl w:ilvl="6">
      <w:start w:val="1"/>
      <w:numFmt w:val="decimal"/>
      <w:lvlText w:val="%1.%2.%3.%4.%5.%6.%7."/>
      <w:lvlJc w:val="left"/>
      <w:pPr>
        <w:ind w:left="2201" w:hanging="1080"/>
      </w:pPr>
      <w:rPr>
        <w:rFonts w:hint="default"/>
      </w:rPr>
    </w:lvl>
    <w:lvl w:ilvl="7">
      <w:start w:val="1"/>
      <w:numFmt w:val="decimal"/>
      <w:lvlText w:val="%1.%2.%3.%4.%5.%6.%7.%8."/>
      <w:lvlJc w:val="left"/>
      <w:pPr>
        <w:ind w:left="2705" w:hanging="1224"/>
      </w:pPr>
      <w:rPr>
        <w:rFonts w:hint="default"/>
      </w:rPr>
    </w:lvl>
    <w:lvl w:ilvl="8">
      <w:start w:val="1"/>
      <w:numFmt w:val="decimal"/>
      <w:lvlText w:val="%1.%2.%3.%4.%5.%6.%7.%8.%9."/>
      <w:lvlJc w:val="left"/>
      <w:pPr>
        <w:ind w:left="3281" w:hanging="1440"/>
      </w:pPr>
      <w:rPr>
        <w:rFonts w:hint="default"/>
      </w:rPr>
    </w:lvl>
  </w:abstractNum>
  <w:abstractNum w:abstractNumId="12" w15:restartNumberingAfterBreak="0">
    <w:nsid w:val="2C4757CA"/>
    <w:multiLevelType w:val="hybridMultilevel"/>
    <w:tmpl w:val="5AD28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2510E6"/>
    <w:multiLevelType w:val="multilevel"/>
    <w:tmpl w:val="64B038FC"/>
    <w:lvl w:ilvl="0">
      <w:start w:val="1"/>
      <w:numFmt w:val="bullet"/>
      <w:pStyle w:val="TableBullet1"/>
      <w:lvlText w:val=""/>
      <w:lvlJc w:val="left"/>
      <w:pPr>
        <w:tabs>
          <w:tab w:val="num" w:pos="397"/>
        </w:tabs>
        <w:ind w:left="284" w:hanging="284"/>
      </w:pPr>
      <w:rPr>
        <w:rFonts w:ascii="Wingdings" w:hAnsi="Wingdings" w:hint="default"/>
        <w:b w:val="0"/>
        <w:bCs w:val="0"/>
        <w:i w:val="0"/>
        <w:iCs w:val="0"/>
        <w:color w:val="auto"/>
        <w:sz w:val="28"/>
        <w:szCs w:val="28"/>
      </w:rPr>
    </w:lvl>
    <w:lvl w:ilvl="1">
      <w:start w:val="1"/>
      <w:numFmt w:val="bullet"/>
      <w:pStyle w:val="TableBullet2"/>
      <w:lvlText w:val=""/>
      <w:lvlJc w:val="left"/>
      <w:pPr>
        <w:ind w:left="851" w:hanging="511"/>
      </w:pPr>
      <w:rPr>
        <w:rFonts w:ascii="Wingdings" w:hAnsi="Wingdings"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0414AB"/>
    <w:multiLevelType w:val="hybridMultilevel"/>
    <w:tmpl w:val="3416BD3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8A67A2"/>
    <w:multiLevelType w:val="multilevel"/>
    <w:tmpl w:val="EA4AB698"/>
    <w:lvl w:ilvl="0">
      <w:start w:val="1"/>
      <w:numFmt w:val="decimal"/>
      <w:pStyle w:val="ParagraphNumbering"/>
      <w:lvlText w:val="%1."/>
      <w:lvlJc w:val="left"/>
      <w:pPr>
        <w:tabs>
          <w:tab w:val="num" w:pos="0"/>
        </w:tabs>
        <w:ind w:left="0" w:hanging="567"/>
      </w:pPr>
      <w:rPr>
        <w:rFonts w:hint="default"/>
        <w:b/>
        <w:bCs/>
        <w:i w:val="0"/>
        <w:iCs w:val="0"/>
        <w:color w:val="auto"/>
        <w:sz w:val="16"/>
        <w:szCs w:val="16"/>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18D3268"/>
    <w:multiLevelType w:val="multilevel"/>
    <w:tmpl w:val="50123644"/>
    <w:lvl w:ilvl="0">
      <w:start w:val="1"/>
      <w:numFmt w:val="bullet"/>
      <w:pStyle w:val="ListBullet"/>
      <w:lvlText w:val=""/>
      <w:lvlJc w:val="left"/>
      <w:pPr>
        <w:ind w:left="567" w:hanging="567"/>
      </w:pPr>
      <w:rPr>
        <w:rFonts w:ascii="Wingdings" w:hAnsi="Wingdings" w:hint="default"/>
        <w:b w:val="0"/>
        <w:bCs w:val="0"/>
        <w:i w:val="0"/>
        <w:iCs w:val="0"/>
        <w:color w:val="auto"/>
        <w:sz w:val="28"/>
      </w:rPr>
    </w:lvl>
    <w:lvl w:ilvl="1">
      <w:start w:val="1"/>
      <w:numFmt w:val="bullet"/>
      <w:pStyle w:val="ListBullet2"/>
      <w:lvlText w:val=""/>
      <w:lvlJc w:val="left"/>
      <w:pPr>
        <w:ind w:left="1985" w:hanging="567"/>
      </w:pPr>
      <w:rPr>
        <w:rFonts w:ascii="Symbol" w:hAnsi="Symbol" w:hint="default"/>
        <w:color w:val="auto"/>
      </w:rPr>
    </w:lvl>
    <w:lvl w:ilvl="2">
      <w:start w:val="1"/>
      <w:numFmt w:val="bullet"/>
      <w:pStyle w:val="ListBullet3"/>
      <w:lvlText w:val="‒"/>
      <w:lvlJc w:val="left"/>
      <w:pPr>
        <w:ind w:left="2552" w:hanging="567"/>
      </w:pPr>
      <w:rPr>
        <w:rFonts w:ascii="Arial" w:hAnsi="Arial" w:hint="default"/>
        <w:color w:val="auto"/>
      </w:rPr>
    </w:lvl>
    <w:lvl w:ilvl="3">
      <w:start w:val="1"/>
      <w:numFmt w:val="lowerLetter"/>
      <w:pStyle w:val="ListBullet4"/>
      <w:lvlText w:val="%4."/>
      <w:lvlJc w:val="left"/>
      <w:pPr>
        <w:ind w:left="3119" w:hanging="567"/>
      </w:pPr>
      <w:rPr>
        <w:rFonts w:hint="default"/>
      </w:rPr>
    </w:lvl>
    <w:lvl w:ilvl="4">
      <w:start w:val="1"/>
      <w:numFmt w:val="lowerRoman"/>
      <w:pStyle w:val="ListBullet5"/>
      <w:lvlText w:val="%5."/>
      <w:lvlJc w:val="left"/>
      <w:pPr>
        <w:ind w:left="3119" w:hanging="567"/>
      </w:pPr>
      <w:rPr>
        <w:rFonts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7" w15:restartNumberingAfterBreak="0">
    <w:nsid w:val="3456175D"/>
    <w:multiLevelType w:val="hybridMultilevel"/>
    <w:tmpl w:val="17EAE72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9553C3"/>
    <w:multiLevelType w:val="hybridMultilevel"/>
    <w:tmpl w:val="6E7ABB4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8F78A7"/>
    <w:multiLevelType w:val="hybridMultilevel"/>
    <w:tmpl w:val="C7C20B0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6A2276"/>
    <w:multiLevelType w:val="multilevel"/>
    <w:tmpl w:val="9A509850"/>
    <w:styleLink w:val="Appendix"/>
    <w:lvl w:ilvl="0">
      <w:start w:val="1"/>
      <w:numFmt w:val="upperLetter"/>
      <w:lvlText w:val="Appendix %1 – "/>
      <w:lvlJc w:val="left"/>
      <w:pPr>
        <w:tabs>
          <w:tab w:val="num" w:pos="848"/>
        </w:tabs>
        <w:ind w:left="848" w:hanging="848"/>
      </w:pPr>
      <w:rPr>
        <w:rFonts w:ascii="Arial Bold" w:hAnsi="Arial Bold" w:hint="default"/>
        <w:b/>
        <w:i w:val="0"/>
        <w:caps w:val="0"/>
        <w:color w:val="1F144A" w:themeColor="text1"/>
        <w:sz w:val="36"/>
        <w:szCs w:val="32"/>
      </w:rPr>
    </w:lvl>
    <w:lvl w:ilvl="1">
      <w:start w:val="1"/>
      <w:numFmt w:val="decimal"/>
      <w:lvlText w:val="%1.%2"/>
      <w:lvlJc w:val="left"/>
      <w:pPr>
        <w:tabs>
          <w:tab w:val="num" w:pos="851"/>
        </w:tabs>
        <w:ind w:left="851" w:hanging="851"/>
      </w:pPr>
      <w:rPr>
        <w:rFonts w:ascii="Arial Bold" w:hAnsi="Arial Bold" w:hint="default"/>
        <w:b/>
        <w:bCs/>
        <w:i w:val="0"/>
        <w:iCs w:val="0"/>
        <w:caps w:val="0"/>
        <w:strike w:val="0"/>
        <w:dstrike w:val="0"/>
        <w:vanish w:val="0"/>
        <w:color w:val="1F144A" w:themeColor="text1"/>
        <w:spacing w:val="0"/>
        <w:kern w:val="0"/>
        <w:position w:val="0"/>
        <w:sz w:val="32"/>
        <w:szCs w:val="28"/>
        <w:u w:val="none"/>
        <w:vertAlign w:val="baseline"/>
        <w:em w:val="none"/>
      </w:rPr>
    </w:lvl>
    <w:lvl w:ilvl="2">
      <w:start w:val="1"/>
      <w:numFmt w:val="decimal"/>
      <w:lvlText w:val="%1.%2.%3"/>
      <w:lvlJc w:val="left"/>
      <w:pPr>
        <w:tabs>
          <w:tab w:val="num" w:pos="848"/>
        </w:tabs>
        <w:ind w:left="848" w:hanging="848"/>
      </w:pPr>
      <w:rPr>
        <w:rFonts w:ascii="Arial Bold" w:hAnsi="Arial Bold" w:hint="default"/>
        <w:b/>
        <w:bCs/>
        <w:i w:val="0"/>
        <w:iCs w:val="0"/>
        <w:caps w:val="0"/>
        <w:smallCaps w:val="0"/>
        <w:strike w:val="0"/>
        <w:dstrike w:val="0"/>
        <w:vanish w:val="0"/>
        <w:color w:val="1F144A" w:themeColor="text1"/>
        <w:spacing w:val="0"/>
        <w:kern w:val="0"/>
        <w:position w:val="0"/>
        <w:sz w:val="28"/>
        <w:szCs w:val="26"/>
        <w:u w:val="none"/>
        <w:vertAlign w:val="baseline"/>
        <w:em w:val="none"/>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color w:val="1F144A" w:themeColor="text1"/>
        <w:spacing w:val="0"/>
        <w:kern w:val="0"/>
        <w:position w:val="0"/>
        <w:sz w:val="28"/>
        <w:szCs w:val="24"/>
        <w:u w:val="none"/>
        <w:vertAlign w:val="baseline"/>
        <w:em w:val="none"/>
      </w:rPr>
    </w:lvl>
    <w:lvl w:ilvl="4">
      <w:start w:val="1"/>
      <w:numFmt w:val="decimal"/>
      <w:lvlText w:val="%1.%2.%3.%4.%5"/>
      <w:lvlJc w:val="left"/>
      <w:pPr>
        <w:tabs>
          <w:tab w:val="num" w:pos="1365"/>
        </w:tabs>
        <w:ind w:left="1365" w:hanging="1365"/>
      </w:pPr>
      <w:rPr>
        <w:rFonts w:ascii="Arial Bold" w:hAnsi="Arial Bold" w:cs="Arial" w:hint="default"/>
        <w:b/>
        <w:i w:val="0"/>
        <w:color w:val="29235C"/>
        <w:sz w:val="22"/>
        <w:szCs w:val="22"/>
        <w:u w:val="none"/>
      </w:rPr>
    </w:lvl>
    <w:lvl w:ilvl="5">
      <w:start w:val="1"/>
      <w:numFmt w:val="decimal"/>
      <w:lvlText w:val="%1.%2.%3.%4.%5.%6"/>
      <w:lvlJc w:val="left"/>
      <w:pPr>
        <w:tabs>
          <w:tab w:val="num" w:pos="1149"/>
        </w:tabs>
        <w:ind w:left="1149" w:hanging="1149"/>
      </w:pPr>
      <w:rPr>
        <w:rFonts w:hint="default"/>
        <w:u w:val="single"/>
      </w:rPr>
    </w:lvl>
    <w:lvl w:ilvl="6">
      <w:start w:val="1"/>
      <w:numFmt w:val="decimal"/>
      <w:lvlText w:val="%1.%2.%3.%4.%5.%6.%7"/>
      <w:lvlJc w:val="left"/>
      <w:pPr>
        <w:tabs>
          <w:tab w:val="num" w:pos="1293"/>
        </w:tabs>
        <w:ind w:left="1293" w:hanging="1293"/>
      </w:pPr>
      <w:rPr>
        <w:rFonts w:hint="default"/>
        <w:u w:val="single"/>
      </w:rPr>
    </w:lvl>
    <w:lvl w:ilvl="7">
      <w:start w:val="1"/>
      <w:numFmt w:val="decimal"/>
      <w:lvlText w:val="%1.%2.%3.%4.%5.%6.%7.%8"/>
      <w:lvlJc w:val="left"/>
      <w:pPr>
        <w:tabs>
          <w:tab w:val="num" w:pos="1437"/>
        </w:tabs>
        <w:ind w:left="1437" w:hanging="1437"/>
      </w:pPr>
      <w:rPr>
        <w:rFonts w:hint="default"/>
        <w:u w:val="single"/>
      </w:rPr>
    </w:lvl>
    <w:lvl w:ilvl="8">
      <w:start w:val="1"/>
      <w:numFmt w:val="decimal"/>
      <w:lvlText w:val="%1.%2.%3.%4.%5.%6.%7.%8.%9"/>
      <w:lvlJc w:val="left"/>
      <w:pPr>
        <w:tabs>
          <w:tab w:val="num" w:pos="1581"/>
        </w:tabs>
        <w:ind w:left="1581" w:hanging="1581"/>
      </w:pPr>
      <w:rPr>
        <w:rFonts w:hint="default"/>
        <w:u w:val="single"/>
      </w:rPr>
    </w:lvl>
  </w:abstractNum>
  <w:abstractNum w:abstractNumId="21" w15:restartNumberingAfterBreak="0">
    <w:nsid w:val="42C65D5A"/>
    <w:multiLevelType w:val="multilevel"/>
    <w:tmpl w:val="B27A6C94"/>
    <w:lvl w:ilvl="0">
      <w:start w:val="1"/>
      <w:numFmt w:val="decimal"/>
      <w:lvlText w:val="%1"/>
      <w:lvlJc w:val="left"/>
      <w:pPr>
        <w:tabs>
          <w:tab w:val="num" w:pos="848"/>
        </w:tabs>
        <w:ind w:left="848" w:hanging="848"/>
      </w:pPr>
      <w:rPr>
        <w:rFonts w:ascii="Arial Bold" w:hAnsi="Arial Bold" w:hint="default"/>
        <w:b/>
        <w:i w:val="0"/>
        <w:caps w:val="0"/>
        <w:color w:val="1F144A" w:themeColor="text1"/>
        <w:sz w:val="32"/>
        <w:szCs w:val="32"/>
      </w:rPr>
    </w:lvl>
    <w:lvl w:ilvl="1">
      <w:start w:val="1"/>
      <w:numFmt w:val="decimal"/>
      <w:lvlText w:val="%1.%2"/>
      <w:lvlJc w:val="left"/>
      <w:pPr>
        <w:tabs>
          <w:tab w:val="num" w:pos="1134"/>
        </w:tabs>
        <w:ind w:left="1134" w:hanging="851"/>
      </w:pPr>
      <w:rPr>
        <w:rFonts w:ascii="Arial Bold" w:hAnsi="Arial Bold" w:hint="default"/>
        <w:b/>
        <w:bCs/>
        <w:i w:val="0"/>
        <w:iCs w:val="0"/>
        <w:caps w:val="0"/>
        <w:strike w:val="0"/>
        <w:dstrike w:val="0"/>
        <w:vanish w:val="0"/>
        <w:color w:val="1F144A" w:themeColor="text1"/>
        <w:spacing w:val="0"/>
        <w:kern w:val="0"/>
        <w:position w:val="0"/>
        <w:sz w:val="28"/>
        <w:szCs w:val="28"/>
        <w:u w:val="none"/>
        <w:vertAlign w:val="baseline"/>
        <w:em w:val="none"/>
      </w:rPr>
    </w:lvl>
    <w:lvl w:ilvl="2">
      <w:start w:val="1"/>
      <w:numFmt w:val="decimal"/>
      <w:pStyle w:val="Heading3"/>
      <w:lvlText w:val="%1.%2.%3"/>
      <w:lvlJc w:val="left"/>
      <w:pPr>
        <w:tabs>
          <w:tab w:val="num" w:pos="848"/>
        </w:tabs>
        <w:ind w:left="848" w:hanging="848"/>
      </w:pPr>
      <w:rPr>
        <w:rFonts w:ascii="Arial Bold" w:hAnsi="Arial Bold" w:hint="default"/>
        <w:b/>
        <w:bCs/>
        <w:i w:val="0"/>
        <w:iCs w:val="0"/>
        <w:caps w:val="0"/>
        <w:smallCaps w:val="0"/>
        <w:strike w:val="0"/>
        <w:dstrike w:val="0"/>
        <w:vanish w:val="0"/>
        <w:color w:val="1F144A" w:themeColor="text1"/>
        <w:spacing w:val="0"/>
        <w:kern w:val="0"/>
        <w:position w:val="0"/>
        <w:sz w:val="26"/>
        <w:szCs w:val="26"/>
        <w:u w:val="none"/>
        <w:vertAlign w:val="baseline"/>
        <w:em w:val="none"/>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color w:val="1F144A" w:themeColor="text1"/>
        <w:spacing w:val="0"/>
        <w:kern w:val="0"/>
        <w:position w:val="0"/>
        <w:sz w:val="28"/>
        <w:szCs w:val="24"/>
        <w:u w:val="none"/>
        <w:vertAlign w:val="baseline"/>
        <w:em w:val="none"/>
      </w:rPr>
    </w:lvl>
    <w:lvl w:ilvl="4">
      <w:start w:val="1"/>
      <w:numFmt w:val="decimal"/>
      <w:lvlText w:val="%1.%2.%3.%4.%5"/>
      <w:lvlJc w:val="left"/>
      <w:pPr>
        <w:tabs>
          <w:tab w:val="num" w:pos="1365"/>
        </w:tabs>
        <w:ind w:left="1365" w:hanging="1365"/>
      </w:pPr>
      <w:rPr>
        <w:rFonts w:ascii="Arial Bold" w:hAnsi="Arial Bold" w:cs="Arial" w:hint="default"/>
        <w:b/>
        <w:i w:val="0"/>
        <w:color w:val="29235C"/>
        <w:sz w:val="22"/>
        <w:szCs w:val="22"/>
        <w:u w:val="none"/>
      </w:rPr>
    </w:lvl>
    <w:lvl w:ilvl="5">
      <w:start w:val="1"/>
      <w:numFmt w:val="decimal"/>
      <w:lvlText w:val="%1.%2.%3.%4.%5.%6"/>
      <w:lvlJc w:val="left"/>
      <w:pPr>
        <w:tabs>
          <w:tab w:val="num" w:pos="1149"/>
        </w:tabs>
        <w:ind w:left="1149" w:hanging="1149"/>
      </w:pPr>
      <w:rPr>
        <w:rFonts w:hint="default"/>
        <w:u w:val="single"/>
      </w:rPr>
    </w:lvl>
    <w:lvl w:ilvl="6">
      <w:start w:val="1"/>
      <w:numFmt w:val="decimal"/>
      <w:lvlText w:val="%1.%2.%3.%4.%5.%6.%7"/>
      <w:lvlJc w:val="left"/>
      <w:pPr>
        <w:tabs>
          <w:tab w:val="num" w:pos="1293"/>
        </w:tabs>
        <w:ind w:left="1293" w:hanging="1293"/>
      </w:pPr>
      <w:rPr>
        <w:rFonts w:hint="default"/>
        <w:u w:val="single"/>
      </w:rPr>
    </w:lvl>
    <w:lvl w:ilvl="7">
      <w:start w:val="1"/>
      <w:numFmt w:val="decimal"/>
      <w:lvlText w:val="%1.%2.%3.%4.%5.%6.%7.%8"/>
      <w:lvlJc w:val="left"/>
      <w:pPr>
        <w:tabs>
          <w:tab w:val="num" w:pos="1437"/>
        </w:tabs>
        <w:ind w:left="1437" w:hanging="1437"/>
      </w:pPr>
      <w:rPr>
        <w:rFonts w:hint="default"/>
        <w:u w:val="single"/>
      </w:rPr>
    </w:lvl>
    <w:lvl w:ilvl="8">
      <w:start w:val="1"/>
      <w:numFmt w:val="decimal"/>
      <w:lvlText w:val="%1.%2.%3.%4.%5.%6.%7.%8.%9"/>
      <w:lvlJc w:val="left"/>
      <w:pPr>
        <w:tabs>
          <w:tab w:val="num" w:pos="1581"/>
        </w:tabs>
        <w:ind w:left="1581" w:hanging="1581"/>
      </w:pPr>
      <w:rPr>
        <w:rFonts w:hint="default"/>
        <w:u w:val="single"/>
      </w:rPr>
    </w:lvl>
  </w:abstractNum>
  <w:abstractNum w:abstractNumId="22" w15:restartNumberingAfterBreak="0">
    <w:nsid w:val="436242ED"/>
    <w:multiLevelType w:val="hybridMultilevel"/>
    <w:tmpl w:val="95A20F1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D771AE"/>
    <w:multiLevelType w:val="multilevel"/>
    <w:tmpl w:val="04A81762"/>
    <w:lvl w:ilvl="0">
      <w:start w:val="1"/>
      <w:numFmt w:val="decimal"/>
      <w:pStyle w:val="Tableannotation"/>
      <w:suff w:val="nothing"/>
      <w:lvlText w:val="Table %1 – "/>
      <w:lvlJc w:val="left"/>
      <w:pPr>
        <w:ind w:left="720" w:hanging="360"/>
      </w:pPr>
      <w:rPr>
        <w:rFonts w:hint="default"/>
        <w:b/>
        <w:i w:val="0"/>
        <w:color w:val="5C2071" w:themeColor="accent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4BA959C5"/>
    <w:multiLevelType w:val="hybridMultilevel"/>
    <w:tmpl w:val="2BACBBC2"/>
    <w:lvl w:ilvl="0" w:tplc="8E3E5ADE">
      <w:start w:val="1"/>
      <w:numFmt w:val="bullet"/>
      <w:lvlText w:val=""/>
      <w:lvlJc w:val="left"/>
      <w:pPr>
        <w:tabs>
          <w:tab w:val="num" w:pos="720"/>
        </w:tabs>
        <w:ind w:left="720" w:hanging="360"/>
      </w:pPr>
      <w:rPr>
        <w:rFonts w:ascii="Wingdings" w:hAnsi="Wingdings" w:hint="default"/>
      </w:rPr>
    </w:lvl>
    <w:lvl w:ilvl="1" w:tplc="5BAC3AA0">
      <w:start w:val="51"/>
      <w:numFmt w:val="bullet"/>
      <w:lvlText w:val=""/>
      <w:lvlJc w:val="left"/>
      <w:pPr>
        <w:tabs>
          <w:tab w:val="num" w:pos="1440"/>
        </w:tabs>
        <w:ind w:left="1440" w:hanging="360"/>
      </w:pPr>
      <w:rPr>
        <w:rFonts w:ascii="Wingdings" w:hAnsi="Wingdings" w:hint="default"/>
      </w:rPr>
    </w:lvl>
    <w:lvl w:ilvl="2" w:tplc="8D28C0D2" w:tentative="1">
      <w:start w:val="1"/>
      <w:numFmt w:val="bullet"/>
      <w:lvlText w:val=""/>
      <w:lvlJc w:val="left"/>
      <w:pPr>
        <w:tabs>
          <w:tab w:val="num" w:pos="2160"/>
        </w:tabs>
        <w:ind w:left="2160" w:hanging="360"/>
      </w:pPr>
      <w:rPr>
        <w:rFonts w:ascii="Wingdings" w:hAnsi="Wingdings" w:hint="default"/>
      </w:rPr>
    </w:lvl>
    <w:lvl w:ilvl="3" w:tplc="CC02FD78" w:tentative="1">
      <w:start w:val="1"/>
      <w:numFmt w:val="bullet"/>
      <w:lvlText w:val=""/>
      <w:lvlJc w:val="left"/>
      <w:pPr>
        <w:tabs>
          <w:tab w:val="num" w:pos="2880"/>
        </w:tabs>
        <w:ind w:left="2880" w:hanging="360"/>
      </w:pPr>
      <w:rPr>
        <w:rFonts w:ascii="Wingdings" w:hAnsi="Wingdings" w:hint="default"/>
      </w:rPr>
    </w:lvl>
    <w:lvl w:ilvl="4" w:tplc="7188E3F4" w:tentative="1">
      <w:start w:val="1"/>
      <w:numFmt w:val="bullet"/>
      <w:lvlText w:val=""/>
      <w:lvlJc w:val="left"/>
      <w:pPr>
        <w:tabs>
          <w:tab w:val="num" w:pos="3600"/>
        </w:tabs>
        <w:ind w:left="3600" w:hanging="360"/>
      </w:pPr>
      <w:rPr>
        <w:rFonts w:ascii="Wingdings" w:hAnsi="Wingdings" w:hint="default"/>
      </w:rPr>
    </w:lvl>
    <w:lvl w:ilvl="5" w:tplc="C3D434F8" w:tentative="1">
      <w:start w:val="1"/>
      <w:numFmt w:val="bullet"/>
      <w:lvlText w:val=""/>
      <w:lvlJc w:val="left"/>
      <w:pPr>
        <w:tabs>
          <w:tab w:val="num" w:pos="4320"/>
        </w:tabs>
        <w:ind w:left="4320" w:hanging="360"/>
      </w:pPr>
      <w:rPr>
        <w:rFonts w:ascii="Wingdings" w:hAnsi="Wingdings" w:hint="default"/>
      </w:rPr>
    </w:lvl>
    <w:lvl w:ilvl="6" w:tplc="57EA3A5E" w:tentative="1">
      <w:start w:val="1"/>
      <w:numFmt w:val="bullet"/>
      <w:lvlText w:val=""/>
      <w:lvlJc w:val="left"/>
      <w:pPr>
        <w:tabs>
          <w:tab w:val="num" w:pos="5040"/>
        </w:tabs>
        <w:ind w:left="5040" w:hanging="360"/>
      </w:pPr>
      <w:rPr>
        <w:rFonts w:ascii="Wingdings" w:hAnsi="Wingdings" w:hint="default"/>
      </w:rPr>
    </w:lvl>
    <w:lvl w:ilvl="7" w:tplc="9EB4FC94" w:tentative="1">
      <w:start w:val="1"/>
      <w:numFmt w:val="bullet"/>
      <w:lvlText w:val=""/>
      <w:lvlJc w:val="left"/>
      <w:pPr>
        <w:tabs>
          <w:tab w:val="num" w:pos="5760"/>
        </w:tabs>
        <w:ind w:left="5760" w:hanging="360"/>
      </w:pPr>
      <w:rPr>
        <w:rFonts w:ascii="Wingdings" w:hAnsi="Wingdings" w:hint="default"/>
      </w:rPr>
    </w:lvl>
    <w:lvl w:ilvl="8" w:tplc="4C80288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CC84E29"/>
    <w:multiLevelType w:val="hybridMultilevel"/>
    <w:tmpl w:val="8064130E"/>
    <w:lvl w:ilvl="0" w:tplc="4F06F724">
      <w:start w:val="1"/>
      <w:numFmt w:val="lowerLetter"/>
      <w:pStyle w:val="SoS3"/>
      <w:lvlText w:val="%1)"/>
      <w:lvlJc w:val="left"/>
      <w:pPr>
        <w:ind w:left="720" w:hanging="360"/>
      </w:pPr>
    </w:lvl>
    <w:lvl w:ilvl="1" w:tplc="08090005">
      <w:start w:val="1"/>
      <w:numFmt w:val="bullet"/>
      <w:lvlText w:val=""/>
      <w:lvlJc w:val="left"/>
      <w:pPr>
        <w:ind w:left="1440" w:hanging="360"/>
      </w:pPr>
      <w:rPr>
        <w:rFonts w:ascii="Wingdings" w:hAnsi="Wingdings" w:hint="default"/>
      </w:rPr>
    </w:lvl>
    <w:lvl w:ilvl="2" w:tplc="0809001B">
      <w:start w:val="1"/>
      <w:numFmt w:val="lowerRoman"/>
      <w:lvlText w:val="%3."/>
      <w:lvlJc w:val="right"/>
      <w:pPr>
        <w:ind w:left="2160" w:hanging="180"/>
      </w:pPr>
    </w:lvl>
    <w:lvl w:ilvl="3" w:tplc="4FFE4AA4">
      <w:start w:val="1"/>
      <w:numFmt w:val="decimal"/>
      <w:lvlText w:val="%4)"/>
      <w:lvlJc w:val="left"/>
      <w:pPr>
        <w:ind w:left="2880" w:hanging="36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A03130"/>
    <w:multiLevelType w:val="multilevel"/>
    <w:tmpl w:val="7F52E028"/>
    <w:lvl w:ilvl="0">
      <w:start w:val="1"/>
      <w:numFmt w:val="decimal"/>
      <w:pStyle w:val="Figureannotation"/>
      <w:suff w:val="nothing"/>
      <w:lvlText w:val="Figure %1 – "/>
      <w:lvlJc w:val="left"/>
      <w:pPr>
        <w:ind w:left="720" w:hanging="360"/>
      </w:pPr>
      <w:rPr>
        <w:rFonts w:hint="default"/>
        <w:b/>
        <w:i w:val="0"/>
        <w:color w:val="5C2071" w:themeColor="accent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50F5F44"/>
    <w:multiLevelType w:val="hybridMultilevel"/>
    <w:tmpl w:val="398E5D9E"/>
    <w:lvl w:ilvl="0" w:tplc="9252CE64">
      <w:start w:val="1"/>
      <w:numFmt w:val="bullet"/>
      <w:pStyle w:val="ListTick"/>
      <w:lvlText w:val="ü"/>
      <w:lvlJc w:val="left"/>
      <w:pPr>
        <w:tabs>
          <w:tab w:val="num" w:pos="851"/>
        </w:tabs>
        <w:ind w:left="851" w:hanging="397"/>
      </w:pPr>
      <w:rPr>
        <w:rFonts w:ascii="Wingdings" w:hAnsi="Wingdings" w:hint="default"/>
        <w:color w:val="861889"/>
      </w:rPr>
    </w:lvl>
    <w:lvl w:ilvl="1" w:tplc="8B3017FA" w:tentative="1">
      <w:start w:val="1"/>
      <w:numFmt w:val="bullet"/>
      <w:lvlText w:val="o"/>
      <w:lvlJc w:val="left"/>
      <w:pPr>
        <w:ind w:left="1440" w:hanging="360"/>
      </w:pPr>
      <w:rPr>
        <w:rFonts w:ascii="Courier New" w:hAnsi="Courier New" w:cs="Courier New" w:hint="default"/>
      </w:rPr>
    </w:lvl>
    <w:lvl w:ilvl="2" w:tplc="392E022A" w:tentative="1">
      <w:start w:val="1"/>
      <w:numFmt w:val="bullet"/>
      <w:lvlText w:val=""/>
      <w:lvlJc w:val="left"/>
      <w:pPr>
        <w:ind w:left="2160" w:hanging="360"/>
      </w:pPr>
      <w:rPr>
        <w:rFonts w:ascii="Wingdings" w:hAnsi="Wingdings" w:hint="default"/>
      </w:rPr>
    </w:lvl>
    <w:lvl w:ilvl="3" w:tplc="84983852" w:tentative="1">
      <w:start w:val="1"/>
      <w:numFmt w:val="bullet"/>
      <w:lvlText w:val=""/>
      <w:lvlJc w:val="left"/>
      <w:pPr>
        <w:ind w:left="2880" w:hanging="360"/>
      </w:pPr>
      <w:rPr>
        <w:rFonts w:ascii="Symbol" w:hAnsi="Symbol" w:hint="default"/>
      </w:rPr>
    </w:lvl>
    <w:lvl w:ilvl="4" w:tplc="30EC2EC0" w:tentative="1">
      <w:start w:val="1"/>
      <w:numFmt w:val="bullet"/>
      <w:lvlText w:val="o"/>
      <w:lvlJc w:val="left"/>
      <w:pPr>
        <w:ind w:left="3600" w:hanging="360"/>
      </w:pPr>
      <w:rPr>
        <w:rFonts w:ascii="Courier New" w:hAnsi="Courier New" w:cs="Courier New" w:hint="default"/>
      </w:rPr>
    </w:lvl>
    <w:lvl w:ilvl="5" w:tplc="D4BCF14E" w:tentative="1">
      <w:start w:val="1"/>
      <w:numFmt w:val="bullet"/>
      <w:lvlText w:val=""/>
      <w:lvlJc w:val="left"/>
      <w:pPr>
        <w:ind w:left="4320" w:hanging="360"/>
      </w:pPr>
      <w:rPr>
        <w:rFonts w:ascii="Wingdings" w:hAnsi="Wingdings" w:hint="default"/>
      </w:rPr>
    </w:lvl>
    <w:lvl w:ilvl="6" w:tplc="06A67C5E" w:tentative="1">
      <w:start w:val="1"/>
      <w:numFmt w:val="bullet"/>
      <w:lvlText w:val=""/>
      <w:lvlJc w:val="left"/>
      <w:pPr>
        <w:ind w:left="5040" w:hanging="360"/>
      </w:pPr>
      <w:rPr>
        <w:rFonts w:ascii="Symbol" w:hAnsi="Symbol" w:hint="default"/>
      </w:rPr>
    </w:lvl>
    <w:lvl w:ilvl="7" w:tplc="B2588592" w:tentative="1">
      <w:start w:val="1"/>
      <w:numFmt w:val="bullet"/>
      <w:lvlText w:val="o"/>
      <w:lvlJc w:val="left"/>
      <w:pPr>
        <w:ind w:left="5760" w:hanging="360"/>
      </w:pPr>
      <w:rPr>
        <w:rFonts w:ascii="Courier New" w:hAnsi="Courier New" w:cs="Courier New" w:hint="default"/>
      </w:rPr>
    </w:lvl>
    <w:lvl w:ilvl="8" w:tplc="A22CF1F2" w:tentative="1">
      <w:start w:val="1"/>
      <w:numFmt w:val="bullet"/>
      <w:lvlText w:val=""/>
      <w:lvlJc w:val="left"/>
      <w:pPr>
        <w:ind w:left="6480" w:hanging="360"/>
      </w:pPr>
      <w:rPr>
        <w:rFonts w:ascii="Wingdings" w:hAnsi="Wingdings" w:hint="default"/>
      </w:rPr>
    </w:lvl>
  </w:abstractNum>
  <w:abstractNum w:abstractNumId="28" w15:restartNumberingAfterBreak="0">
    <w:nsid w:val="582C4D44"/>
    <w:multiLevelType w:val="hybridMultilevel"/>
    <w:tmpl w:val="B8529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8A6403"/>
    <w:multiLevelType w:val="hybridMultilevel"/>
    <w:tmpl w:val="3B3835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3AB63A0"/>
    <w:multiLevelType w:val="hybridMultilevel"/>
    <w:tmpl w:val="6CA8D1AC"/>
    <w:lvl w:ilvl="0" w:tplc="13C26AA4">
      <w:start w:val="1"/>
      <w:numFmt w:val="bullet"/>
      <w:pStyle w:val="ListCross"/>
      <w:lvlText w:val="û"/>
      <w:lvlJc w:val="left"/>
      <w:pPr>
        <w:tabs>
          <w:tab w:val="num" w:pos="851"/>
        </w:tabs>
        <w:ind w:left="851" w:hanging="397"/>
      </w:pPr>
      <w:rPr>
        <w:rFonts w:ascii="Wingdings" w:hAnsi="Wingdings" w:hint="default"/>
        <w:color w:val="861889"/>
      </w:rPr>
    </w:lvl>
    <w:lvl w:ilvl="1" w:tplc="96301856" w:tentative="1">
      <w:start w:val="1"/>
      <w:numFmt w:val="bullet"/>
      <w:lvlText w:val="o"/>
      <w:lvlJc w:val="left"/>
      <w:pPr>
        <w:ind w:left="1440" w:hanging="360"/>
      </w:pPr>
      <w:rPr>
        <w:rFonts w:ascii="Courier New" w:hAnsi="Courier New" w:cs="Courier New" w:hint="default"/>
      </w:rPr>
    </w:lvl>
    <w:lvl w:ilvl="2" w:tplc="F9D4D25A" w:tentative="1">
      <w:start w:val="1"/>
      <w:numFmt w:val="bullet"/>
      <w:lvlText w:val=""/>
      <w:lvlJc w:val="left"/>
      <w:pPr>
        <w:ind w:left="2160" w:hanging="360"/>
      </w:pPr>
      <w:rPr>
        <w:rFonts w:ascii="Wingdings" w:hAnsi="Wingdings" w:hint="default"/>
      </w:rPr>
    </w:lvl>
    <w:lvl w:ilvl="3" w:tplc="4364DE92" w:tentative="1">
      <w:start w:val="1"/>
      <w:numFmt w:val="bullet"/>
      <w:lvlText w:val=""/>
      <w:lvlJc w:val="left"/>
      <w:pPr>
        <w:ind w:left="2880" w:hanging="360"/>
      </w:pPr>
      <w:rPr>
        <w:rFonts w:ascii="Symbol" w:hAnsi="Symbol" w:hint="default"/>
      </w:rPr>
    </w:lvl>
    <w:lvl w:ilvl="4" w:tplc="4B5C5C90" w:tentative="1">
      <w:start w:val="1"/>
      <w:numFmt w:val="bullet"/>
      <w:lvlText w:val="o"/>
      <w:lvlJc w:val="left"/>
      <w:pPr>
        <w:ind w:left="3600" w:hanging="360"/>
      </w:pPr>
      <w:rPr>
        <w:rFonts w:ascii="Courier New" w:hAnsi="Courier New" w:cs="Courier New" w:hint="default"/>
      </w:rPr>
    </w:lvl>
    <w:lvl w:ilvl="5" w:tplc="7CE272B6" w:tentative="1">
      <w:start w:val="1"/>
      <w:numFmt w:val="bullet"/>
      <w:lvlText w:val=""/>
      <w:lvlJc w:val="left"/>
      <w:pPr>
        <w:ind w:left="4320" w:hanging="360"/>
      </w:pPr>
      <w:rPr>
        <w:rFonts w:ascii="Wingdings" w:hAnsi="Wingdings" w:hint="default"/>
      </w:rPr>
    </w:lvl>
    <w:lvl w:ilvl="6" w:tplc="51EC5D28" w:tentative="1">
      <w:start w:val="1"/>
      <w:numFmt w:val="bullet"/>
      <w:lvlText w:val=""/>
      <w:lvlJc w:val="left"/>
      <w:pPr>
        <w:ind w:left="5040" w:hanging="360"/>
      </w:pPr>
      <w:rPr>
        <w:rFonts w:ascii="Symbol" w:hAnsi="Symbol" w:hint="default"/>
      </w:rPr>
    </w:lvl>
    <w:lvl w:ilvl="7" w:tplc="3E0A8E60" w:tentative="1">
      <w:start w:val="1"/>
      <w:numFmt w:val="bullet"/>
      <w:lvlText w:val="o"/>
      <w:lvlJc w:val="left"/>
      <w:pPr>
        <w:ind w:left="5760" w:hanging="360"/>
      </w:pPr>
      <w:rPr>
        <w:rFonts w:ascii="Courier New" w:hAnsi="Courier New" w:cs="Courier New" w:hint="default"/>
      </w:rPr>
    </w:lvl>
    <w:lvl w:ilvl="8" w:tplc="90AA2CE0" w:tentative="1">
      <w:start w:val="1"/>
      <w:numFmt w:val="bullet"/>
      <w:lvlText w:val=""/>
      <w:lvlJc w:val="left"/>
      <w:pPr>
        <w:ind w:left="6480" w:hanging="360"/>
      </w:pPr>
      <w:rPr>
        <w:rFonts w:ascii="Wingdings" w:hAnsi="Wingdings" w:hint="default"/>
      </w:rPr>
    </w:lvl>
  </w:abstractNum>
  <w:abstractNum w:abstractNumId="31" w15:restartNumberingAfterBreak="0">
    <w:nsid w:val="67503789"/>
    <w:multiLevelType w:val="hybridMultilevel"/>
    <w:tmpl w:val="9C38A3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78C44F9"/>
    <w:multiLevelType w:val="hybridMultilevel"/>
    <w:tmpl w:val="AAE0C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CD3052"/>
    <w:multiLevelType w:val="multilevel"/>
    <w:tmpl w:val="D41A6ED0"/>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4" w15:restartNumberingAfterBreak="0">
    <w:nsid w:val="6D3304FF"/>
    <w:multiLevelType w:val="hybridMultilevel"/>
    <w:tmpl w:val="117C438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3D16790"/>
    <w:multiLevelType w:val="hybridMultilevel"/>
    <w:tmpl w:val="92404984"/>
    <w:lvl w:ilvl="0" w:tplc="E04EA03C">
      <w:start w:val="1"/>
      <w:numFmt w:val="upperLetter"/>
      <w:pStyle w:val="AppendixHeading"/>
      <w:lvlText w:val="Appendix %1 –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3F71EAB"/>
    <w:multiLevelType w:val="hybridMultilevel"/>
    <w:tmpl w:val="510C8BC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9575956"/>
    <w:multiLevelType w:val="hybridMultilevel"/>
    <w:tmpl w:val="E916A8D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8" w15:restartNumberingAfterBreak="0">
    <w:nsid w:val="7C96510D"/>
    <w:multiLevelType w:val="hybridMultilevel"/>
    <w:tmpl w:val="9DDEEE54"/>
    <w:lvl w:ilvl="0" w:tplc="D5C8030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88490433">
    <w:abstractNumId w:val="2"/>
  </w:num>
  <w:num w:numId="2" w16cid:durableId="1605572338">
    <w:abstractNumId w:val="0"/>
  </w:num>
  <w:num w:numId="3" w16cid:durableId="1226914114">
    <w:abstractNumId w:val="21"/>
  </w:num>
  <w:num w:numId="4" w16cid:durableId="1223830764">
    <w:abstractNumId w:val="27"/>
  </w:num>
  <w:num w:numId="5" w16cid:durableId="645664939">
    <w:abstractNumId w:val="30"/>
  </w:num>
  <w:num w:numId="6" w16cid:durableId="546650569">
    <w:abstractNumId w:val="15"/>
  </w:num>
  <w:num w:numId="7" w16cid:durableId="1813059216">
    <w:abstractNumId w:val="8"/>
  </w:num>
  <w:num w:numId="8" w16cid:durableId="2033220966">
    <w:abstractNumId w:val="11"/>
  </w:num>
  <w:num w:numId="9" w16cid:durableId="1914702141">
    <w:abstractNumId w:val="5"/>
  </w:num>
  <w:num w:numId="10" w16cid:durableId="1376851018">
    <w:abstractNumId w:val="13"/>
  </w:num>
  <w:num w:numId="11" w16cid:durableId="1449617638">
    <w:abstractNumId w:val="16"/>
  </w:num>
  <w:num w:numId="12" w16cid:durableId="956641396">
    <w:abstractNumId w:val="20"/>
  </w:num>
  <w:num w:numId="13" w16cid:durableId="348720779">
    <w:abstractNumId w:val="35"/>
  </w:num>
  <w:num w:numId="14" w16cid:durableId="1872722695">
    <w:abstractNumId w:val="1"/>
  </w:num>
  <w:num w:numId="15" w16cid:durableId="1163738551">
    <w:abstractNumId w:val="26"/>
  </w:num>
  <w:num w:numId="16" w16cid:durableId="839321112">
    <w:abstractNumId w:val="23"/>
  </w:num>
  <w:num w:numId="17" w16cid:durableId="1133864700">
    <w:abstractNumId w:val="25"/>
  </w:num>
  <w:num w:numId="18" w16cid:durableId="75637264">
    <w:abstractNumId w:val="12"/>
  </w:num>
  <w:num w:numId="19" w16cid:durableId="1566067005">
    <w:abstractNumId w:val="9"/>
  </w:num>
  <w:num w:numId="20" w16cid:durableId="1428306469">
    <w:abstractNumId w:val="3"/>
  </w:num>
  <w:num w:numId="21" w16cid:durableId="1219786140">
    <w:abstractNumId w:val="14"/>
  </w:num>
  <w:num w:numId="22" w16cid:durableId="553472640">
    <w:abstractNumId w:val="22"/>
  </w:num>
  <w:num w:numId="23" w16cid:durableId="1596669570">
    <w:abstractNumId w:val="21"/>
  </w:num>
  <w:num w:numId="24" w16cid:durableId="1352756592">
    <w:abstractNumId w:val="24"/>
  </w:num>
  <w:num w:numId="25" w16cid:durableId="817653496">
    <w:abstractNumId w:val="28"/>
  </w:num>
  <w:num w:numId="26" w16cid:durableId="223613233">
    <w:abstractNumId w:val="32"/>
  </w:num>
  <w:num w:numId="27" w16cid:durableId="1466005572">
    <w:abstractNumId w:val="10"/>
  </w:num>
  <w:num w:numId="28" w16cid:durableId="505218430">
    <w:abstractNumId w:val="17"/>
  </w:num>
  <w:num w:numId="29" w16cid:durableId="269512693">
    <w:abstractNumId w:val="18"/>
  </w:num>
  <w:num w:numId="30" w16cid:durableId="199167186">
    <w:abstractNumId w:val="7"/>
  </w:num>
  <w:num w:numId="31" w16cid:durableId="1876573710">
    <w:abstractNumId w:val="38"/>
  </w:num>
  <w:num w:numId="32" w16cid:durableId="688145661">
    <w:abstractNumId w:val="6"/>
  </w:num>
  <w:num w:numId="33" w16cid:durableId="1035077202">
    <w:abstractNumId w:val="19"/>
  </w:num>
  <w:num w:numId="34" w16cid:durableId="513805101">
    <w:abstractNumId w:val="37"/>
  </w:num>
  <w:num w:numId="35" w16cid:durableId="833491217">
    <w:abstractNumId w:val="35"/>
  </w:num>
  <w:num w:numId="36" w16cid:durableId="1313607884">
    <w:abstractNumId w:val="35"/>
  </w:num>
  <w:num w:numId="37" w16cid:durableId="1092973961">
    <w:abstractNumId w:val="35"/>
  </w:num>
  <w:num w:numId="38" w16cid:durableId="1889871815">
    <w:abstractNumId w:val="35"/>
  </w:num>
  <w:num w:numId="39" w16cid:durableId="1827474254">
    <w:abstractNumId w:val="31"/>
  </w:num>
  <w:num w:numId="40" w16cid:durableId="1798643652">
    <w:abstractNumId w:val="29"/>
  </w:num>
  <w:num w:numId="41" w16cid:durableId="823932218">
    <w:abstractNumId w:val="34"/>
  </w:num>
  <w:num w:numId="42" w16cid:durableId="1507095192">
    <w:abstractNumId w:val="4"/>
  </w:num>
  <w:num w:numId="43" w16cid:durableId="461965488">
    <w:abstractNumId w:val="33"/>
  </w:num>
  <w:num w:numId="44" w16cid:durableId="1627463634">
    <w:abstractNumId w:val="3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removeDateAndTime/>
  <w:embedSystemFonts/>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B51"/>
    <w:rsid w:val="00001BED"/>
    <w:rsid w:val="00001C18"/>
    <w:rsid w:val="00001F8B"/>
    <w:rsid w:val="000023D7"/>
    <w:rsid w:val="00002807"/>
    <w:rsid w:val="00002C07"/>
    <w:rsid w:val="00002E38"/>
    <w:rsid w:val="000035B3"/>
    <w:rsid w:val="0000483A"/>
    <w:rsid w:val="00006D48"/>
    <w:rsid w:val="00007922"/>
    <w:rsid w:val="000105F7"/>
    <w:rsid w:val="0001108C"/>
    <w:rsid w:val="00012015"/>
    <w:rsid w:val="00012C37"/>
    <w:rsid w:val="00013681"/>
    <w:rsid w:val="00013DE1"/>
    <w:rsid w:val="00014C15"/>
    <w:rsid w:val="00014DF0"/>
    <w:rsid w:val="00014E0C"/>
    <w:rsid w:val="0001554A"/>
    <w:rsid w:val="000158D8"/>
    <w:rsid w:val="0001596C"/>
    <w:rsid w:val="00015E6D"/>
    <w:rsid w:val="0001601B"/>
    <w:rsid w:val="00016A1E"/>
    <w:rsid w:val="00016D9F"/>
    <w:rsid w:val="00017106"/>
    <w:rsid w:val="00017238"/>
    <w:rsid w:val="000172C1"/>
    <w:rsid w:val="000176CF"/>
    <w:rsid w:val="00017801"/>
    <w:rsid w:val="00022890"/>
    <w:rsid w:val="00022B36"/>
    <w:rsid w:val="00022DCC"/>
    <w:rsid w:val="00024444"/>
    <w:rsid w:val="000248BC"/>
    <w:rsid w:val="00030033"/>
    <w:rsid w:val="00030412"/>
    <w:rsid w:val="00030450"/>
    <w:rsid w:val="00030A76"/>
    <w:rsid w:val="00031009"/>
    <w:rsid w:val="0003115A"/>
    <w:rsid w:val="00032845"/>
    <w:rsid w:val="00032C08"/>
    <w:rsid w:val="000330B2"/>
    <w:rsid w:val="00033289"/>
    <w:rsid w:val="00033945"/>
    <w:rsid w:val="0003463F"/>
    <w:rsid w:val="00034FB8"/>
    <w:rsid w:val="000369DB"/>
    <w:rsid w:val="00040582"/>
    <w:rsid w:val="00040EC8"/>
    <w:rsid w:val="00041C64"/>
    <w:rsid w:val="000431FA"/>
    <w:rsid w:val="0004336F"/>
    <w:rsid w:val="00043391"/>
    <w:rsid w:val="00043637"/>
    <w:rsid w:val="00044E8C"/>
    <w:rsid w:val="000530A4"/>
    <w:rsid w:val="0005452F"/>
    <w:rsid w:val="00055BB5"/>
    <w:rsid w:val="00056367"/>
    <w:rsid w:val="000563FD"/>
    <w:rsid w:val="00056889"/>
    <w:rsid w:val="000574A0"/>
    <w:rsid w:val="00057C71"/>
    <w:rsid w:val="00061E2B"/>
    <w:rsid w:val="00062D5C"/>
    <w:rsid w:val="0006438D"/>
    <w:rsid w:val="00064C0A"/>
    <w:rsid w:val="00065B5E"/>
    <w:rsid w:val="00067235"/>
    <w:rsid w:val="00070535"/>
    <w:rsid w:val="0007121A"/>
    <w:rsid w:val="00071310"/>
    <w:rsid w:val="00073134"/>
    <w:rsid w:val="000751CC"/>
    <w:rsid w:val="00075421"/>
    <w:rsid w:val="00075A86"/>
    <w:rsid w:val="00076EAA"/>
    <w:rsid w:val="0007792A"/>
    <w:rsid w:val="00080C91"/>
    <w:rsid w:val="00080DE7"/>
    <w:rsid w:val="00081342"/>
    <w:rsid w:val="00081C13"/>
    <w:rsid w:val="00082B3F"/>
    <w:rsid w:val="00083678"/>
    <w:rsid w:val="000839AF"/>
    <w:rsid w:val="00083C7A"/>
    <w:rsid w:val="0008441D"/>
    <w:rsid w:val="0008449B"/>
    <w:rsid w:val="00084609"/>
    <w:rsid w:val="00084E94"/>
    <w:rsid w:val="00085A95"/>
    <w:rsid w:val="00085F5C"/>
    <w:rsid w:val="00085FD4"/>
    <w:rsid w:val="00086265"/>
    <w:rsid w:val="0008633B"/>
    <w:rsid w:val="00086E5E"/>
    <w:rsid w:val="00087774"/>
    <w:rsid w:val="00091627"/>
    <w:rsid w:val="00091D2C"/>
    <w:rsid w:val="0009212E"/>
    <w:rsid w:val="0009270E"/>
    <w:rsid w:val="0009300F"/>
    <w:rsid w:val="00093C31"/>
    <w:rsid w:val="000951B8"/>
    <w:rsid w:val="00095892"/>
    <w:rsid w:val="00095EE8"/>
    <w:rsid w:val="00095F55"/>
    <w:rsid w:val="000A0435"/>
    <w:rsid w:val="000A0E5D"/>
    <w:rsid w:val="000A1380"/>
    <w:rsid w:val="000A27AA"/>
    <w:rsid w:val="000A2D84"/>
    <w:rsid w:val="000A57AC"/>
    <w:rsid w:val="000A581A"/>
    <w:rsid w:val="000A5ADE"/>
    <w:rsid w:val="000A6A94"/>
    <w:rsid w:val="000A6D73"/>
    <w:rsid w:val="000A79E0"/>
    <w:rsid w:val="000A7B16"/>
    <w:rsid w:val="000B0ACA"/>
    <w:rsid w:val="000B0C08"/>
    <w:rsid w:val="000B14C8"/>
    <w:rsid w:val="000B18D4"/>
    <w:rsid w:val="000B1AB2"/>
    <w:rsid w:val="000B3357"/>
    <w:rsid w:val="000B3416"/>
    <w:rsid w:val="000B53DC"/>
    <w:rsid w:val="000B6321"/>
    <w:rsid w:val="000B6863"/>
    <w:rsid w:val="000B73BA"/>
    <w:rsid w:val="000B745F"/>
    <w:rsid w:val="000B781F"/>
    <w:rsid w:val="000B789F"/>
    <w:rsid w:val="000C138C"/>
    <w:rsid w:val="000C1750"/>
    <w:rsid w:val="000C2BB8"/>
    <w:rsid w:val="000C41CB"/>
    <w:rsid w:val="000C5485"/>
    <w:rsid w:val="000C5FA4"/>
    <w:rsid w:val="000C62C8"/>
    <w:rsid w:val="000C682B"/>
    <w:rsid w:val="000D10F9"/>
    <w:rsid w:val="000D1C40"/>
    <w:rsid w:val="000D2094"/>
    <w:rsid w:val="000D3331"/>
    <w:rsid w:val="000D3469"/>
    <w:rsid w:val="000D4374"/>
    <w:rsid w:val="000D46DC"/>
    <w:rsid w:val="000D532A"/>
    <w:rsid w:val="000D5BB0"/>
    <w:rsid w:val="000D626B"/>
    <w:rsid w:val="000D7209"/>
    <w:rsid w:val="000D7ACA"/>
    <w:rsid w:val="000E100A"/>
    <w:rsid w:val="000E190B"/>
    <w:rsid w:val="000E1E1E"/>
    <w:rsid w:val="000E5E65"/>
    <w:rsid w:val="000E708D"/>
    <w:rsid w:val="000E74AC"/>
    <w:rsid w:val="000E776A"/>
    <w:rsid w:val="000E7DC7"/>
    <w:rsid w:val="000F143A"/>
    <w:rsid w:val="000F3AF8"/>
    <w:rsid w:val="000F3B59"/>
    <w:rsid w:val="000F4734"/>
    <w:rsid w:val="000F49A2"/>
    <w:rsid w:val="000F57C6"/>
    <w:rsid w:val="000F5A08"/>
    <w:rsid w:val="000F62BD"/>
    <w:rsid w:val="000F78B1"/>
    <w:rsid w:val="00102211"/>
    <w:rsid w:val="00102CE8"/>
    <w:rsid w:val="00103A0A"/>
    <w:rsid w:val="001043DD"/>
    <w:rsid w:val="0010451C"/>
    <w:rsid w:val="001045FA"/>
    <w:rsid w:val="0010465D"/>
    <w:rsid w:val="00105220"/>
    <w:rsid w:val="00105E01"/>
    <w:rsid w:val="00106946"/>
    <w:rsid w:val="00106A09"/>
    <w:rsid w:val="001075BC"/>
    <w:rsid w:val="00107C8E"/>
    <w:rsid w:val="00110084"/>
    <w:rsid w:val="001102FE"/>
    <w:rsid w:val="001106F5"/>
    <w:rsid w:val="001118EB"/>
    <w:rsid w:val="001134FF"/>
    <w:rsid w:val="00113FB8"/>
    <w:rsid w:val="001142F7"/>
    <w:rsid w:val="001148E9"/>
    <w:rsid w:val="001149F2"/>
    <w:rsid w:val="00115156"/>
    <w:rsid w:val="001154B4"/>
    <w:rsid w:val="00115CB7"/>
    <w:rsid w:val="00115E6C"/>
    <w:rsid w:val="00116171"/>
    <w:rsid w:val="001166AE"/>
    <w:rsid w:val="00117114"/>
    <w:rsid w:val="00117167"/>
    <w:rsid w:val="00117ECF"/>
    <w:rsid w:val="0012147B"/>
    <w:rsid w:val="00123C59"/>
    <w:rsid w:val="001248AB"/>
    <w:rsid w:val="0012502F"/>
    <w:rsid w:val="00125710"/>
    <w:rsid w:val="001267C5"/>
    <w:rsid w:val="001279DF"/>
    <w:rsid w:val="00127B0E"/>
    <w:rsid w:val="0013164C"/>
    <w:rsid w:val="00131B74"/>
    <w:rsid w:val="00131D4B"/>
    <w:rsid w:val="0013209F"/>
    <w:rsid w:val="00133C0F"/>
    <w:rsid w:val="001344EA"/>
    <w:rsid w:val="00134F9D"/>
    <w:rsid w:val="00135DCD"/>
    <w:rsid w:val="00136466"/>
    <w:rsid w:val="00136F19"/>
    <w:rsid w:val="0014073F"/>
    <w:rsid w:val="0014143E"/>
    <w:rsid w:val="001419F7"/>
    <w:rsid w:val="0014205C"/>
    <w:rsid w:val="00142B72"/>
    <w:rsid w:val="00143234"/>
    <w:rsid w:val="0014385B"/>
    <w:rsid w:val="001444F7"/>
    <w:rsid w:val="00144E0E"/>
    <w:rsid w:val="00147826"/>
    <w:rsid w:val="001523C6"/>
    <w:rsid w:val="00152599"/>
    <w:rsid w:val="00152D1C"/>
    <w:rsid w:val="001540FD"/>
    <w:rsid w:val="00155248"/>
    <w:rsid w:val="001552EB"/>
    <w:rsid w:val="001567AC"/>
    <w:rsid w:val="00156F7C"/>
    <w:rsid w:val="00157576"/>
    <w:rsid w:val="00157E13"/>
    <w:rsid w:val="00157EAD"/>
    <w:rsid w:val="00160E14"/>
    <w:rsid w:val="00161429"/>
    <w:rsid w:val="001615DF"/>
    <w:rsid w:val="00162C6F"/>
    <w:rsid w:val="00162EEB"/>
    <w:rsid w:val="001630B3"/>
    <w:rsid w:val="00165546"/>
    <w:rsid w:val="00167C5F"/>
    <w:rsid w:val="00171256"/>
    <w:rsid w:val="001729A7"/>
    <w:rsid w:val="00172FD8"/>
    <w:rsid w:val="00173189"/>
    <w:rsid w:val="001742D3"/>
    <w:rsid w:val="001768E6"/>
    <w:rsid w:val="00177A97"/>
    <w:rsid w:val="001805D9"/>
    <w:rsid w:val="0018080F"/>
    <w:rsid w:val="00180C58"/>
    <w:rsid w:val="00181CB3"/>
    <w:rsid w:val="00182E10"/>
    <w:rsid w:val="0018339A"/>
    <w:rsid w:val="00183D12"/>
    <w:rsid w:val="001840AA"/>
    <w:rsid w:val="001848AA"/>
    <w:rsid w:val="001856F4"/>
    <w:rsid w:val="00185D64"/>
    <w:rsid w:val="00186C94"/>
    <w:rsid w:val="00186D59"/>
    <w:rsid w:val="00187E49"/>
    <w:rsid w:val="001900A6"/>
    <w:rsid w:val="00190B2B"/>
    <w:rsid w:val="00190F1D"/>
    <w:rsid w:val="00190F37"/>
    <w:rsid w:val="00192336"/>
    <w:rsid w:val="0019239E"/>
    <w:rsid w:val="00193954"/>
    <w:rsid w:val="001939A2"/>
    <w:rsid w:val="001942F0"/>
    <w:rsid w:val="00194422"/>
    <w:rsid w:val="00195A5F"/>
    <w:rsid w:val="0019673C"/>
    <w:rsid w:val="001967E3"/>
    <w:rsid w:val="001968D1"/>
    <w:rsid w:val="0019692C"/>
    <w:rsid w:val="00197075"/>
    <w:rsid w:val="00197DCA"/>
    <w:rsid w:val="00197FB7"/>
    <w:rsid w:val="001A0DF8"/>
    <w:rsid w:val="001A1976"/>
    <w:rsid w:val="001A25F1"/>
    <w:rsid w:val="001A2DCA"/>
    <w:rsid w:val="001A3937"/>
    <w:rsid w:val="001A3C18"/>
    <w:rsid w:val="001A409B"/>
    <w:rsid w:val="001A5074"/>
    <w:rsid w:val="001A60C3"/>
    <w:rsid w:val="001A657A"/>
    <w:rsid w:val="001A66A7"/>
    <w:rsid w:val="001A6D5B"/>
    <w:rsid w:val="001A7700"/>
    <w:rsid w:val="001B0F68"/>
    <w:rsid w:val="001B0FC8"/>
    <w:rsid w:val="001B1862"/>
    <w:rsid w:val="001B19F6"/>
    <w:rsid w:val="001B1AC0"/>
    <w:rsid w:val="001B2AE7"/>
    <w:rsid w:val="001B2FAE"/>
    <w:rsid w:val="001B5CEE"/>
    <w:rsid w:val="001B6690"/>
    <w:rsid w:val="001B7475"/>
    <w:rsid w:val="001C04D9"/>
    <w:rsid w:val="001C0AA4"/>
    <w:rsid w:val="001C1CFC"/>
    <w:rsid w:val="001C211B"/>
    <w:rsid w:val="001C5EC6"/>
    <w:rsid w:val="001C60B0"/>
    <w:rsid w:val="001C7EE9"/>
    <w:rsid w:val="001D07D5"/>
    <w:rsid w:val="001D0D14"/>
    <w:rsid w:val="001D1ED0"/>
    <w:rsid w:val="001D2C7B"/>
    <w:rsid w:val="001D2CE2"/>
    <w:rsid w:val="001D3983"/>
    <w:rsid w:val="001D3CF1"/>
    <w:rsid w:val="001D73B9"/>
    <w:rsid w:val="001D751F"/>
    <w:rsid w:val="001D7C3C"/>
    <w:rsid w:val="001D7F66"/>
    <w:rsid w:val="001E01C1"/>
    <w:rsid w:val="001E0209"/>
    <w:rsid w:val="001E024D"/>
    <w:rsid w:val="001E030C"/>
    <w:rsid w:val="001E1C9B"/>
    <w:rsid w:val="001E312B"/>
    <w:rsid w:val="001E4559"/>
    <w:rsid w:val="001E4FBF"/>
    <w:rsid w:val="001E5E83"/>
    <w:rsid w:val="001E68DA"/>
    <w:rsid w:val="001E777F"/>
    <w:rsid w:val="001E7784"/>
    <w:rsid w:val="001E7F84"/>
    <w:rsid w:val="001F05D0"/>
    <w:rsid w:val="001F08BD"/>
    <w:rsid w:val="001F0B55"/>
    <w:rsid w:val="001F118F"/>
    <w:rsid w:val="001F1B9C"/>
    <w:rsid w:val="001F3D3A"/>
    <w:rsid w:val="001F4AAC"/>
    <w:rsid w:val="001F4BFF"/>
    <w:rsid w:val="001F54D3"/>
    <w:rsid w:val="001F56B1"/>
    <w:rsid w:val="001F599B"/>
    <w:rsid w:val="001F5BB9"/>
    <w:rsid w:val="001F5CE8"/>
    <w:rsid w:val="001F5F4E"/>
    <w:rsid w:val="001F6665"/>
    <w:rsid w:val="001F7A53"/>
    <w:rsid w:val="0020036B"/>
    <w:rsid w:val="002010E0"/>
    <w:rsid w:val="00201361"/>
    <w:rsid w:val="00201C82"/>
    <w:rsid w:val="00201D17"/>
    <w:rsid w:val="00201EB8"/>
    <w:rsid w:val="002023F9"/>
    <w:rsid w:val="00203441"/>
    <w:rsid w:val="00203930"/>
    <w:rsid w:val="00205040"/>
    <w:rsid w:val="00205FDB"/>
    <w:rsid w:val="002078B2"/>
    <w:rsid w:val="00211065"/>
    <w:rsid w:val="002119F1"/>
    <w:rsid w:val="00211CE7"/>
    <w:rsid w:val="0021216F"/>
    <w:rsid w:val="00213626"/>
    <w:rsid w:val="00213EEE"/>
    <w:rsid w:val="002145A5"/>
    <w:rsid w:val="00214A91"/>
    <w:rsid w:val="002156BF"/>
    <w:rsid w:val="002158D6"/>
    <w:rsid w:val="00215DEA"/>
    <w:rsid w:val="00215FC3"/>
    <w:rsid w:val="0021692D"/>
    <w:rsid w:val="00216FD1"/>
    <w:rsid w:val="00217F24"/>
    <w:rsid w:val="002211C6"/>
    <w:rsid w:val="002212D2"/>
    <w:rsid w:val="002225AE"/>
    <w:rsid w:val="00222909"/>
    <w:rsid w:val="00222C88"/>
    <w:rsid w:val="00223491"/>
    <w:rsid w:val="0022370A"/>
    <w:rsid w:val="00223BA4"/>
    <w:rsid w:val="00223C5F"/>
    <w:rsid w:val="00226E5A"/>
    <w:rsid w:val="00227287"/>
    <w:rsid w:val="00230913"/>
    <w:rsid w:val="00231BC8"/>
    <w:rsid w:val="0023250C"/>
    <w:rsid w:val="00232D96"/>
    <w:rsid w:val="00233DEA"/>
    <w:rsid w:val="002343C7"/>
    <w:rsid w:val="002347C4"/>
    <w:rsid w:val="00235529"/>
    <w:rsid w:val="0023572D"/>
    <w:rsid w:val="00236170"/>
    <w:rsid w:val="002376DB"/>
    <w:rsid w:val="002419EA"/>
    <w:rsid w:val="00241AAC"/>
    <w:rsid w:val="00241F18"/>
    <w:rsid w:val="002440A6"/>
    <w:rsid w:val="00244A79"/>
    <w:rsid w:val="00244AAA"/>
    <w:rsid w:val="002451CE"/>
    <w:rsid w:val="00247041"/>
    <w:rsid w:val="00247083"/>
    <w:rsid w:val="00247D93"/>
    <w:rsid w:val="002503FE"/>
    <w:rsid w:val="0025074F"/>
    <w:rsid w:val="00250E8E"/>
    <w:rsid w:val="0025157B"/>
    <w:rsid w:val="00251828"/>
    <w:rsid w:val="00252287"/>
    <w:rsid w:val="002542C4"/>
    <w:rsid w:val="00254D59"/>
    <w:rsid w:val="00255803"/>
    <w:rsid w:val="00255823"/>
    <w:rsid w:val="00255DCF"/>
    <w:rsid w:val="00261F20"/>
    <w:rsid w:val="0026279D"/>
    <w:rsid w:val="00263FFF"/>
    <w:rsid w:val="00265A1F"/>
    <w:rsid w:val="00265ADF"/>
    <w:rsid w:val="002664BB"/>
    <w:rsid w:val="00266E86"/>
    <w:rsid w:val="00267345"/>
    <w:rsid w:val="0027086B"/>
    <w:rsid w:val="0027118E"/>
    <w:rsid w:val="00272181"/>
    <w:rsid w:val="0027246A"/>
    <w:rsid w:val="002729BB"/>
    <w:rsid w:val="002731EC"/>
    <w:rsid w:val="00273E61"/>
    <w:rsid w:val="00273FBE"/>
    <w:rsid w:val="002740BB"/>
    <w:rsid w:val="00275434"/>
    <w:rsid w:val="002756DC"/>
    <w:rsid w:val="00275906"/>
    <w:rsid w:val="00275C42"/>
    <w:rsid w:val="00276C39"/>
    <w:rsid w:val="0028004C"/>
    <w:rsid w:val="00281673"/>
    <w:rsid w:val="002824C6"/>
    <w:rsid w:val="00282A5F"/>
    <w:rsid w:val="00282E4F"/>
    <w:rsid w:val="0028508E"/>
    <w:rsid w:val="00285B51"/>
    <w:rsid w:val="00286CF5"/>
    <w:rsid w:val="00287479"/>
    <w:rsid w:val="00290158"/>
    <w:rsid w:val="00291741"/>
    <w:rsid w:val="002931B8"/>
    <w:rsid w:val="002938E3"/>
    <w:rsid w:val="00293DE4"/>
    <w:rsid w:val="00293EDE"/>
    <w:rsid w:val="00295891"/>
    <w:rsid w:val="00295B8C"/>
    <w:rsid w:val="00295D63"/>
    <w:rsid w:val="00295EA5"/>
    <w:rsid w:val="00297113"/>
    <w:rsid w:val="002971C0"/>
    <w:rsid w:val="002A05BD"/>
    <w:rsid w:val="002A2456"/>
    <w:rsid w:val="002A35FB"/>
    <w:rsid w:val="002A3882"/>
    <w:rsid w:val="002A3F9C"/>
    <w:rsid w:val="002A4258"/>
    <w:rsid w:val="002A56A4"/>
    <w:rsid w:val="002A67EC"/>
    <w:rsid w:val="002A729A"/>
    <w:rsid w:val="002B065C"/>
    <w:rsid w:val="002B1AEB"/>
    <w:rsid w:val="002B223F"/>
    <w:rsid w:val="002B227C"/>
    <w:rsid w:val="002B27DF"/>
    <w:rsid w:val="002B2D03"/>
    <w:rsid w:val="002B2DF0"/>
    <w:rsid w:val="002B39A1"/>
    <w:rsid w:val="002B3AC8"/>
    <w:rsid w:val="002B4809"/>
    <w:rsid w:val="002B533E"/>
    <w:rsid w:val="002B5DCC"/>
    <w:rsid w:val="002B632A"/>
    <w:rsid w:val="002B6D09"/>
    <w:rsid w:val="002C0424"/>
    <w:rsid w:val="002C168B"/>
    <w:rsid w:val="002C2B39"/>
    <w:rsid w:val="002C4A1A"/>
    <w:rsid w:val="002C4C22"/>
    <w:rsid w:val="002C591C"/>
    <w:rsid w:val="002C7787"/>
    <w:rsid w:val="002D0512"/>
    <w:rsid w:val="002D11E8"/>
    <w:rsid w:val="002D1701"/>
    <w:rsid w:val="002D18EF"/>
    <w:rsid w:val="002D448D"/>
    <w:rsid w:val="002D4A07"/>
    <w:rsid w:val="002D5262"/>
    <w:rsid w:val="002D63E7"/>
    <w:rsid w:val="002D6F94"/>
    <w:rsid w:val="002D7F1A"/>
    <w:rsid w:val="002E01EB"/>
    <w:rsid w:val="002E0434"/>
    <w:rsid w:val="002E1B6D"/>
    <w:rsid w:val="002E20DE"/>
    <w:rsid w:val="002E2662"/>
    <w:rsid w:val="002E322A"/>
    <w:rsid w:val="002E376A"/>
    <w:rsid w:val="002E3A72"/>
    <w:rsid w:val="002E44F8"/>
    <w:rsid w:val="002E4E3C"/>
    <w:rsid w:val="002E637C"/>
    <w:rsid w:val="002E6635"/>
    <w:rsid w:val="002E6812"/>
    <w:rsid w:val="002E6D16"/>
    <w:rsid w:val="002E7478"/>
    <w:rsid w:val="002F0051"/>
    <w:rsid w:val="002F11EE"/>
    <w:rsid w:val="002F1789"/>
    <w:rsid w:val="002F208B"/>
    <w:rsid w:val="002F2865"/>
    <w:rsid w:val="002F342F"/>
    <w:rsid w:val="002F3B3A"/>
    <w:rsid w:val="002F4E04"/>
    <w:rsid w:val="002F7E81"/>
    <w:rsid w:val="00300A8E"/>
    <w:rsid w:val="0030115A"/>
    <w:rsid w:val="0030122A"/>
    <w:rsid w:val="0030176F"/>
    <w:rsid w:val="003024CD"/>
    <w:rsid w:val="003049F9"/>
    <w:rsid w:val="00304BD0"/>
    <w:rsid w:val="003053E3"/>
    <w:rsid w:val="0030547A"/>
    <w:rsid w:val="00306E07"/>
    <w:rsid w:val="00307EF9"/>
    <w:rsid w:val="003105F3"/>
    <w:rsid w:val="003113AE"/>
    <w:rsid w:val="00311582"/>
    <w:rsid w:val="00311604"/>
    <w:rsid w:val="00312917"/>
    <w:rsid w:val="00312F3A"/>
    <w:rsid w:val="00313F9C"/>
    <w:rsid w:val="00314E3D"/>
    <w:rsid w:val="00314F6D"/>
    <w:rsid w:val="00315AA3"/>
    <w:rsid w:val="00316163"/>
    <w:rsid w:val="00317189"/>
    <w:rsid w:val="0031740C"/>
    <w:rsid w:val="00317745"/>
    <w:rsid w:val="003178C7"/>
    <w:rsid w:val="003205AB"/>
    <w:rsid w:val="00321167"/>
    <w:rsid w:val="00323019"/>
    <w:rsid w:val="00325AB2"/>
    <w:rsid w:val="00326817"/>
    <w:rsid w:val="003269A8"/>
    <w:rsid w:val="00326FEA"/>
    <w:rsid w:val="00327637"/>
    <w:rsid w:val="003279E5"/>
    <w:rsid w:val="00327BC7"/>
    <w:rsid w:val="00331152"/>
    <w:rsid w:val="00331594"/>
    <w:rsid w:val="003317A4"/>
    <w:rsid w:val="00331A65"/>
    <w:rsid w:val="00331B28"/>
    <w:rsid w:val="003325DA"/>
    <w:rsid w:val="003349D8"/>
    <w:rsid w:val="00336C0F"/>
    <w:rsid w:val="00337120"/>
    <w:rsid w:val="0034137D"/>
    <w:rsid w:val="0034142E"/>
    <w:rsid w:val="00341E74"/>
    <w:rsid w:val="00344139"/>
    <w:rsid w:val="00344653"/>
    <w:rsid w:val="00344747"/>
    <w:rsid w:val="0034600F"/>
    <w:rsid w:val="00346BB6"/>
    <w:rsid w:val="00347A8F"/>
    <w:rsid w:val="00350104"/>
    <w:rsid w:val="00350615"/>
    <w:rsid w:val="00350707"/>
    <w:rsid w:val="00350A9A"/>
    <w:rsid w:val="00351134"/>
    <w:rsid w:val="00351685"/>
    <w:rsid w:val="003536E3"/>
    <w:rsid w:val="0035397A"/>
    <w:rsid w:val="00353BD1"/>
    <w:rsid w:val="003568B8"/>
    <w:rsid w:val="00356BE9"/>
    <w:rsid w:val="003578AF"/>
    <w:rsid w:val="00357D66"/>
    <w:rsid w:val="00360B1C"/>
    <w:rsid w:val="00360D23"/>
    <w:rsid w:val="0036331A"/>
    <w:rsid w:val="00364B0A"/>
    <w:rsid w:val="003657A3"/>
    <w:rsid w:val="00365F4B"/>
    <w:rsid w:val="00370238"/>
    <w:rsid w:val="00371077"/>
    <w:rsid w:val="003712C6"/>
    <w:rsid w:val="00371F6B"/>
    <w:rsid w:val="00372BB1"/>
    <w:rsid w:val="00372D62"/>
    <w:rsid w:val="003734B8"/>
    <w:rsid w:val="00375285"/>
    <w:rsid w:val="00376052"/>
    <w:rsid w:val="00376B83"/>
    <w:rsid w:val="00377971"/>
    <w:rsid w:val="00377B32"/>
    <w:rsid w:val="00380014"/>
    <w:rsid w:val="00380E17"/>
    <w:rsid w:val="003825E4"/>
    <w:rsid w:val="00383BDC"/>
    <w:rsid w:val="00385D47"/>
    <w:rsid w:val="00385FC5"/>
    <w:rsid w:val="00387B0F"/>
    <w:rsid w:val="00387F24"/>
    <w:rsid w:val="003906CA"/>
    <w:rsid w:val="00390B17"/>
    <w:rsid w:val="00390E9F"/>
    <w:rsid w:val="00391B09"/>
    <w:rsid w:val="00393741"/>
    <w:rsid w:val="00393963"/>
    <w:rsid w:val="00393B0D"/>
    <w:rsid w:val="00393F79"/>
    <w:rsid w:val="00394F39"/>
    <w:rsid w:val="00395DC8"/>
    <w:rsid w:val="00395E93"/>
    <w:rsid w:val="003977DA"/>
    <w:rsid w:val="00397F39"/>
    <w:rsid w:val="003A0598"/>
    <w:rsid w:val="003A0880"/>
    <w:rsid w:val="003A0A3F"/>
    <w:rsid w:val="003A0A71"/>
    <w:rsid w:val="003A2309"/>
    <w:rsid w:val="003A23F6"/>
    <w:rsid w:val="003A3B09"/>
    <w:rsid w:val="003A412B"/>
    <w:rsid w:val="003A5463"/>
    <w:rsid w:val="003A5918"/>
    <w:rsid w:val="003A5BDC"/>
    <w:rsid w:val="003A65E2"/>
    <w:rsid w:val="003A6B61"/>
    <w:rsid w:val="003A6C64"/>
    <w:rsid w:val="003A7C41"/>
    <w:rsid w:val="003B28A9"/>
    <w:rsid w:val="003B357C"/>
    <w:rsid w:val="003B3A5C"/>
    <w:rsid w:val="003B46D2"/>
    <w:rsid w:val="003B4CB7"/>
    <w:rsid w:val="003B5178"/>
    <w:rsid w:val="003B59CE"/>
    <w:rsid w:val="003B5F6C"/>
    <w:rsid w:val="003B6646"/>
    <w:rsid w:val="003B6EA3"/>
    <w:rsid w:val="003B7D9A"/>
    <w:rsid w:val="003C0231"/>
    <w:rsid w:val="003C0931"/>
    <w:rsid w:val="003C0C1B"/>
    <w:rsid w:val="003C283C"/>
    <w:rsid w:val="003C2C9C"/>
    <w:rsid w:val="003C2D02"/>
    <w:rsid w:val="003C3196"/>
    <w:rsid w:val="003C32FC"/>
    <w:rsid w:val="003C3C2F"/>
    <w:rsid w:val="003C67F7"/>
    <w:rsid w:val="003C6F86"/>
    <w:rsid w:val="003D0452"/>
    <w:rsid w:val="003D07F5"/>
    <w:rsid w:val="003D1955"/>
    <w:rsid w:val="003D330C"/>
    <w:rsid w:val="003D529C"/>
    <w:rsid w:val="003D5559"/>
    <w:rsid w:val="003E299D"/>
    <w:rsid w:val="003E3E89"/>
    <w:rsid w:val="003E56AB"/>
    <w:rsid w:val="003E576A"/>
    <w:rsid w:val="003E625B"/>
    <w:rsid w:val="003E636B"/>
    <w:rsid w:val="003E6D71"/>
    <w:rsid w:val="003E6E88"/>
    <w:rsid w:val="003F02A3"/>
    <w:rsid w:val="003F0835"/>
    <w:rsid w:val="003F1332"/>
    <w:rsid w:val="003F24C9"/>
    <w:rsid w:val="003F254A"/>
    <w:rsid w:val="003F3285"/>
    <w:rsid w:val="003F3378"/>
    <w:rsid w:val="003F695D"/>
    <w:rsid w:val="00400CE9"/>
    <w:rsid w:val="0040231B"/>
    <w:rsid w:val="0040246C"/>
    <w:rsid w:val="00402D80"/>
    <w:rsid w:val="00403A06"/>
    <w:rsid w:val="004044BA"/>
    <w:rsid w:val="00404F6A"/>
    <w:rsid w:val="00404F7A"/>
    <w:rsid w:val="004056F8"/>
    <w:rsid w:val="00406425"/>
    <w:rsid w:val="004064E0"/>
    <w:rsid w:val="00406C41"/>
    <w:rsid w:val="00406EB9"/>
    <w:rsid w:val="00406ED7"/>
    <w:rsid w:val="00407AEF"/>
    <w:rsid w:val="00410625"/>
    <w:rsid w:val="004119FB"/>
    <w:rsid w:val="004122B8"/>
    <w:rsid w:val="00412369"/>
    <w:rsid w:val="00412A22"/>
    <w:rsid w:val="00413255"/>
    <w:rsid w:val="00415476"/>
    <w:rsid w:val="00415690"/>
    <w:rsid w:val="00415696"/>
    <w:rsid w:val="0041569B"/>
    <w:rsid w:val="004169D4"/>
    <w:rsid w:val="00420244"/>
    <w:rsid w:val="00420A53"/>
    <w:rsid w:val="004227B9"/>
    <w:rsid w:val="00422846"/>
    <w:rsid w:val="00422DE0"/>
    <w:rsid w:val="00422EF3"/>
    <w:rsid w:val="00423A1D"/>
    <w:rsid w:val="00423CFE"/>
    <w:rsid w:val="00424049"/>
    <w:rsid w:val="0042418F"/>
    <w:rsid w:val="00424B53"/>
    <w:rsid w:val="0042566F"/>
    <w:rsid w:val="00425B34"/>
    <w:rsid w:val="00426134"/>
    <w:rsid w:val="004274E0"/>
    <w:rsid w:val="004277F0"/>
    <w:rsid w:val="0043010B"/>
    <w:rsid w:val="00430182"/>
    <w:rsid w:val="0043041F"/>
    <w:rsid w:val="00431169"/>
    <w:rsid w:val="004313F5"/>
    <w:rsid w:val="0043177D"/>
    <w:rsid w:val="004320E3"/>
    <w:rsid w:val="0043422F"/>
    <w:rsid w:val="004347F0"/>
    <w:rsid w:val="00434FE5"/>
    <w:rsid w:val="00435F8A"/>
    <w:rsid w:val="00437088"/>
    <w:rsid w:val="004370E5"/>
    <w:rsid w:val="004372F0"/>
    <w:rsid w:val="00437F9E"/>
    <w:rsid w:val="00440360"/>
    <w:rsid w:val="004411CC"/>
    <w:rsid w:val="0044217A"/>
    <w:rsid w:val="00443985"/>
    <w:rsid w:val="00443F93"/>
    <w:rsid w:val="00444342"/>
    <w:rsid w:val="004449D9"/>
    <w:rsid w:val="004466E7"/>
    <w:rsid w:val="00446A5E"/>
    <w:rsid w:val="00450746"/>
    <w:rsid w:val="00450D53"/>
    <w:rsid w:val="00451333"/>
    <w:rsid w:val="004514E4"/>
    <w:rsid w:val="0045249F"/>
    <w:rsid w:val="00452F27"/>
    <w:rsid w:val="00453768"/>
    <w:rsid w:val="00453782"/>
    <w:rsid w:val="004539F0"/>
    <w:rsid w:val="00453EA5"/>
    <w:rsid w:val="00454D2F"/>
    <w:rsid w:val="00456095"/>
    <w:rsid w:val="00456349"/>
    <w:rsid w:val="00456EA6"/>
    <w:rsid w:val="0045703C"/>
    <w:rsid w:val="0045765E"/>
    <w:rsid w:val="0045787E"/>
    <w:rsid w:val="00461136"/>
    <w:rsid w:val="00461216"/>
    <w:rsid w:val="00461716"/>
    <w:rsid w:val="00461CE0"/>
    <w:rsid w:val="00461FBA"/>
    <w:rsid w:val="00463124"/>
    <w:rsid w:val="0046491A"/>
    <w:rsid w:val="00465681"/>
    <w:rsid w:val="00465DCE"/>
    <w:rsid w:val="00466631"/>
    <w:rsid w:val="00466A4D"/>
    <w:rsid w:val="00466C53"/>
    <w:rsid w:val="004672F8"/>
    <w:rsid w:val="00467397"/>
    <w:rsid w:val="00470339"/>
    <w:rsid w:val="00470AA7"/>
    <w:rsid w:val="00470F81"/>
    <w:rsid w:val="00471162"/>
    <w:rsid w:val="004714CC"/>
    <w:rsid w:val="00471B7C"/>
    <w:rsid w:val="004738A1"/>
    <w:rsid w:val="00474571"/>
    <w:rsid w:val="00474F0E"/>
    <w:rsid w:val="00475136"/>
    <w:rsid w:val="004777E2"/>
    <w:rsid w:val="004778F6"/>
    <w:rsid w:val="00477B3F"/>
    <w:rsid w:val="004814C0"/>
    <w:rsid w:val="00482194"/>
    <w:rsid w:val="0048355A"/>
    <w:rsid w:val="004843F8"/>
    <w:rsid w:val="004868BC"/>
    <w:rsid w:val="0048727F"/>
    <w:rsid w:val="00487292"/>
    <w:rsid w:val="004879B0"/>
    <w:rsid w:val="00487BDE"/>
    <w:rsid w:val="00487BDF"/>
    <w:rsid w:val="00490594"/>
    <w:rsid w:val="004919FD"/>
    <w:rsid w:val="00491C0F"/>
    <w:rsid w:val="00492074"/>
    <w:rsid w:val="00492085"/>
    <w:rsid w:val="00493968"/>
    <w:rsid w:val="00494AA1"/>
    <w:rsid w:val="0049558D"/>
    <w:rsid w:val="00495DBE"/>
    <w:rsid w:val="00495F29"/>
    <w:rsid w:val="00496641"/>
    <w:rsid w:val="004A016C"/>
    <w:rsid w:val="004A0316"/>
    <w:rsid w:val="004A2710"/>
    <w:rsid w:val="004A3969"/>
    <w:rsid w:val="004A4FD8"/>
    <w:rsid w:val="004A5819"/>
    <w:rsid w:val="004A6CBB"/>
    <w:rsid w:val="004B040C"/>
    <w:rsid w:val="004B0A6E"/>
    <w:rsid w:val="004B1967"/>
    <w:rsid w:val="004B1BCE"/>
    <w:rsid w:val="004B1BF7"/>
    <w:rsid w:val="004B2131"/>
    <w:rsid w:val="004B2950"/>
    <w:rsid w:val="004B2C0E"/>
    <w:rsid w:val="004B2C2A"/>
    <w:rsid w:val="004B3823"/>
    <w:rsid w:val="004B3ADB"/>
    <w:rsid w:val="004B3C40"/>
    <w:rsid w:val="004B4611"/>
    <w:rsid w:val="004B4D09"/>
    <w:rsid w:val="004B6508"/>
    <w:rsid w:val="004C003B"/>
    <w:rsid w:val="004C0999"/>
    <w:rsid w:val="004C0B90"/>
    <w:rsid w:val="004C0FCF"/>
    <w:rsid w:val="004C1225"/>
    <w:rsid w:val="004C2832"/>
    <w:rsid w:val="004C3282"/>
    <w:rsid w:val="004C38E8"/>
    <w:rsid w:val="004C3917"/>
    <w:rsid w:val="004C4599"/>
    <w:rsid w:val="004C50EF"/>
    <w:rsid w:val="004C58F6"/>
    <w:rsid w:val="004C5EFB"/>
    <w:rsid w:val="004C620D"/>
    <w:rsid w:val="004C6757"/>
    <w:rsid w:val="004C7436"/>
    <w:rsid w:val="004C7787"/>
    <w:rsid w:val="004D0043"/>
    <w:rsid w:val="004D1A6D"/>
    <w:rsid w:val="004D1AE6"/>
    <w:rsid w:val="004D245A"/>
    <w:rsid w:val="004D24A0"/>
    <w:rsid w:val="004D2834"/>
    <w:rsid w:val="004D3064"/>
    <w:rsid w:val="004D30CC"/>
    <w:rsid w:val="004D59CB"/>
    <w:rsid w:val="004D6222"/>
    <w:rsid w:val="004D7500"/>
    <w:rsid w:val="004D7C41"/>
    <w:rsid w:val="004E01F0"/>
    <w:rsid w:val="004E055B"/>
    <w:rsid w:val="004E139F"/>
    <w:rsid w:val="004E14A6"/>
    <w:rsid w:val="004E1685"/>
    <w:rsid w:val="004E1927"/>
    <w:rsid w:val="004E2F36"/>
    <w:rsid w:val="004E357B"/>
    <w:rsid w:val="004E3842"/>
    <w:rsid w:val="004E397F"/>
    <w:rsid w:val="004E50B6"/>
    <w:rsid w:val="004E79DC"/>
    <w:rsid w:val="004F04A7"/>
    <w:rsid w:val="004F1032"/>
    <w:rsid w:val="004F10BD"/>
    <w:rsid w:val="004F12AE"/>
    <w:rsid w:val="004F18BB"/>
    <w:rsid w:val="004F1B46"/>
    <w:rsid w:val="004F2B9B"/>
    <w:rsid w:val="004F470F"/>
    <w:rsid w:val="004F588A"/>
    <w:rsid w:val="004F61FA"/>
    <w:rsid w:val="004F6958"/>
    <w:rsid w:val="004F7646"/>
    <w:rsid w:val="004F7708"/>
    <w:rsid w:val="005004A9"/>
    <w:rsid w:val="00500893"/>
    <w:rsid w:val="005008FD"/>
    <w:rsid w:val="005010F7"/>
    <w:rsid w:val="005011AE"/>
    <w:rsid w:val="00501961"/>
    <w:rsid w:val="00501C2B"/>
    <w:rsid w:val="00502155"/>
    <w:rsid w:val="00502E97"/>
    <w:rsid w:val="00503594"/>
    <w:rsid w:val="005036B6"/>
    <w:rsid w:val="005052B5"/>
    <w:rsid w:val="005062C0"/>
    <w:rsid w:val="00506B1D"/>
    <w:rsid w:val="00506FE9"/>
    <w:rsid w:val="0050706D"/>
    <w:rsid w:val="00507397"/>
    <w:rsid w:val="0050770D"/>
    <w:rsid w:val="00507C91"/>
    <w:rsid w:val="0051086E"/>
    <w:rsid w:val="005125F5"/>
    <w:rsid w:val="005126C9"/>
    <w:rsid w:val="005139D5"/>
    <w:rsid w:val="00514B25"/>
    <w:rsid w:val="00514FC6"/>
    <w:rsid w:val="00516328"/>
    <w:rsid w:val="00517CD9"/>
    <w:rsid w:val="0052145D"/>
    <w:rsid w:val="0052229C"/>
    <w:rsid w:val="00522C43"/>
    <w:rsid w:val="005234FD"/>
    <w:rsid w:val="0052372B"/>
    <w:rsid w:val="00524349"/>
    <w:rsid w:val="005243DA"/>
    <w:rsid w:val="00524AB3"/>
    <w:rsid w:val="0052508C"/>
    <w:rsid w:val="00525597"/>
    <w:rsid w:val="0052593B"/>
    <w:rsid w:val="00525C10"/>
    <w:rsid w:val="00526231"/>
    <w:rsid w:val="00526958"/>
    <w:rsid w:val="00526989"/>
    <w:rsid w:val="00527686"/>
    <w:rsid w:val="00530335"/>
    <w:rsid w:val="0053068F"/>
    <w:rsid w:val="00532296"/>
    <w:rsid w:val="00533739"/>
    <w:rsid w:val="00535C72"/>
    <w:rsid w:val="00536503"/>
    <w:rsid w:val="005372A9"/>
    <w:rsid w:val="0054074B"/>
    <w:rsid w:val="00540872"/>
    <w:rsid w:val="005410AB"/>
    <w:rsid w:val="00541145"/>
    <w:rsid w:val="00541A5B"/>
    <w:rsid w:val="00542352"/>
    <w:rsid w:val="00542F7C"/>
    <w:rsid w:val="00543602"/>
    <w:rsid w:val="0054534B"/>
    <w:rsid w:val="005465FC"/>
    <w:rsid w:val="00547C14"/>
    <w:rsid w:val="00547F50"/>
    <w:rsid w:val="0055077C"/>
    <w:rsid w:val="00550C2B"/>
    <w:rsid w:val="00550E0D"/>
    <w:rsid w:val="005515B6"/>
    <w:rsid w:val="005521F5"/>
    <w:rsid w:val="00553837"/>
    <w:rsid w:val="00555194"/>
    <w:rsid w:val="005559E1"/>
    <w:rsid w:val="005563BC"/>
    <w:rsid w:val="005564AD"/>
    <w:rsid w:val="00556A4A"/>
    <w:rsid w:val="00560DF2"/>
    <w:rsid w:val="00563FD8"/>
    <w:rsid w:val="00565B42"/>
    <w:rsid w:val="005661A9"/>
    <w:rsid w:val="00566F5B"/>
    <w:rsid w:val="00571197"/>
    <w:rsid w:val="005726F7"/>
    <w:rsid w:val="005757E9"/>
    <w:rsid w:val="0057613E"/>
    <w:rsid w:val="005770A0"/>
    <w:rsid w:val="00577637"/>
    <w:rsid w:val="00581426"/>
    <w:rsid w:val="00581670"/>
    <w:rsid w:val="005822BD"/>
    <w:rsid w:val="0058296F"/>
    <w:rsid w:val="00582F52"/>
    <w:rsid w:val="00583881"/>
    <w:rsid w:val="00583C5F"/>
    <w:rsid w:val="00583DDA"/>
    <w:rsid w:val="00584536"/>
    <w:rsid w:val="00585630"/>
    <w:rsid w:val="00585984"/>
    <w:rsid w:val="00590274"/>
    <w:rsid w:val="00590539"/>
    <w:rsid w:val="00591101"/>
    <w:rsid w:val="005912CA"/>
    <w:rsid w:val="00591D31"/>
    <w:rsid w:val="00591E18"/>
    <w:rsid w:val="005928F6"/>
    <w:rsid w:val="00592B99"/>
    <w:rsid w:val="0059341E"/>
    <w:rsid w:val="00593A89"/>
    <w:rsid w:val="00593F68"/>
    <w:rsid w:val="00595026"/>
    <w:rsid w:val="00595102"/>
    <w:rsid w:val="00595E4E"/>
    <w:rsid w:val="0059668E"/>
    <w:rsid w:val="0059676B"/>
    <w:rsid w:val="005970FB"/>
    <w:rsid w:val="005A171B"/>
    <w:rsid w:val="005A17E4"/>
    <w:rsid w:val="005A1F1C"/>
    <w:rsid w:val="005A26CF"/>
    <w:rsid w:val="005A2F8B"/>
    <w:rsid w:val="005A3035"/>
    <w:rsid w:val="005A33DA"/>
    <w:rsid w:val="005A34BC"/>
    <w:rsid w:val="005A6723"/>
    <w:rsid w:val="005A74D3"/>
    <w:rsid w:val="005A764A"/>
    <w:rsid w:val="005B00D1"/>
    <w:rsid w:val="005B04E7"/>
    <w:rsid w:val="005B0C95"/>
    <w:rsid w:val="005B1460"/>
    <w:rsid w:val="005B1585"/>
    <w:rsid w:val="005B1871"/>
    <w:rsid w:val="005B1E2D"/>
    <w:rsid w:val="005B2F8E"/>
    <w:rsid w:val="005B3F24"/>
    <w:rsid w:val="005B412C"/>
    <w:rsid w:val="005B4276"/>
    <w:rsid w:val="005B5AF4"/>
    <w:rsid w:val="005B605E"/>
    <w:rsid w:val="005B7050"/>
    <w:rsid w:val="005B7293"/>
    <w:rsid w:val="005C0E05"/>
    <w:rsid w:val="005C15F3"/>
    <w:rsid w:val="005C160D"/>
    <w:rsid w:val="005C1D95"/>
    <w:rsid w:val="005C3189"/>
    <w:rsid w:val="005C3549"/>
    <w:rsid w:val="005C4713"/>
    <w:rsid w:val="005C523A"/>
    <w:rsid w:val="005C610E"/>
    <w:rsid w:val="005C66C0"/>
    <w:rsid w:val="005D02FF"/>
    <w:rsid w:val="005D2339"/>
    <w:rsid w:val="005D33AB"/>
    <w:rsid w:val="005D3420"/>
    <w:rsid w:val="005D4351"/>
    <w:rsid w:val="005D515A"/>
    <w:rsid w:val="005D56FB"/>
    <w:rsid w:val="005D5D2A"/>
    <w:rsid w:val="005D6853"/>
    <w:rsid w:val="005D6E06"/>
    <w:rsid w:val="005E024C"/>
    <w:rsid w:val="005E1E32"/>
    <w:rsid w:val="005E2C83"/>
    <w:rsid w:val="005E351B"/>
    <w:rsid w:val="005E4D5B"/>
    <w:rsid w:val="005E56C0"/>
    <w:rsid w:val="005E5B8B"/>
    <w:rsid w:val="005E5EA5"/>
    <w:rsid w:val="005E63B8"/>
    <w:rsid w:val="005F0024"/>
    <w:rsid w:val="005F03AD"/>
    <w:rsid w:val="005F2A47"/>
    <w:rsid w:val="005F43B9"/>
    <w:rsid w:val="005F4532"/>
    <w:rsid w:val="005F464F"/>
    <w:rsid w:val="005F5B8F"/>
    <w:rsid w:val="005F5EC8"/>
    <w:rsid w:val="005F61A8"/>
    <w:rsid w:val="005F6D09"/>
    <w:rsid w:val="005F7F6C"/>
    <w:rsid w:val="006008AD"/>
    <w:rsid w:val="00600FDA"/>
    <w:rsid w:val="00601D9F"/>
    <w:rsid w:val="00604014"/>
    <w:rsid w:val="0060403D"/>
    <w:rsid w:val="00605673"/>
    <w:rsid w:val="006057BD"/>
    <w:rsid w:val="006106FA"/>
    <w:rsid w:val="00610FEF"/>
    <w:rsid w:val="006112C6"/>
    <w:rsid w:val="00611B3C"/>
    <w:rsid w:val="006121D1"/>
    <w:rsid w:val="00613498"/>
    <w:rsid w:val="00613975"/>
    <w:rsid w:val="00614DBC"/>
    <w:rsid w:val="006150A6"/>
    <w:rsid w:val="00615A47"/>
    <w:rsid w:val="00617262"/>
    <w:rsid w:val="0061754D"/>
    <w:rsid w:val="0062022E"/>
    <w:rsid w:val="00620282"/>
    <w:rsid w:val="0062100A"/>
    <w:rsid w:val="006211CA"/>
    <w:rsid w:val="006217DA"/>
    <w:rsid w:val="00621816"/>
    <w:rsid w:val="00622660"/>
    <w:rsid w:val="006226C4"/>
    <w:rsid w:val="00623622"/>
    <w:rsid w:val="00623A40"/>
    <w:rsid w:val="00624C61"/>
    <w:rsid w:val="0062555F"/>
    <w:rsid w:val="00625650"/>
    <w:rsid w:val="00625BAD"/>
    <w:rsid w:val="00625E75"/>
    <w:rsid w:val="00625F48"/>
    <w:rsid w:val="00626033"/>
    <w:rsid w:val="006265F8"/>
    <w:rsid w:val="00626EDF"/>
    <w:rsid w:val="0063087F"/>
    <w:rsid w:val="00630A9B"/>
    <w:rsid w:val="00631C2A"/>
    <w:rsid w:val="00631CF4"/>
    <w:rsid w:val="0063371A"/>
    <w:rsid w:val="00637861"/>
    <w:rsid w:val="00642AF2"/>
    <w:rsid w:val="00644598"/>
    <w:rsid w:val="00644A88"/>
    <w:rsid w:val="006453EA"/>
    <w:rsid w:val="00645B88"/>
    <w:rsid w:val="006469EB"/>
    <w:rsid w:val="00647DE9"/>
    <w:rsid w:val="00650BAD"/>
    <w:rsid w:val="00650D99"/>
    <w:rsid w:val="00650F48"/>
    <w:rsid w:val="00650FC7"/>
    <w:rsid w:val="0065146C"/>
    <w:rsid w:val="00652BE8"/>
    <w:rsid w:val="006536B3"/>
    <w:rsid w:val="006540A8"/>
    <w:rsid w:val="006542A4"/>
    <w:rsid w:val="00654BE0"/>
    <w:rsid w:val="00654CB7"/>
    <w:rsid w:val="00655912"/>
    <w:rsid w:val="00656DA2"/>
    <w:rsid w:val="00657B27"/>
    <w:rsid w:val="00660646"/>
    <w:rsid w:val="00662129"/>
    <w:rsid w:val="00662C89"/>
    <w:rsid w:val="00662DE7"/>
    <w:rsid w:val="00662ED1"/>
    <w:rsid w:val="00663013"/>
    <w:rsid w:val="006635B9"/>
    <w:rsid w:val="00663742"/>
    <w:rsid w:val="00665106"/>
    <w:rsid w:val="00665672"/>
    <w:rsid w:val="006672D3"/>
    <w:rsid w:val="00671D44"/>
    <w:rsid w:val="006723CC"/>
    <w:rsid w:val="006724B5"/>
    <w:rsid w:val="00673396"/>
    <w:rsid w:val="006734C3"/>
    <w:rsid w:val="00673928"/>
    <w:rsid w:val="00673B5A"/>
    <w:rsid w:val="006741BE"/>
    <w:rsid w:val="0067478E"/>
    <w:rsid w:val="00674D62"/>
    <w:rsid w:val="006757B9"/>
    <w:rsid w:val="00675CD5"/>
    <w:rsid w:val="00675E75"/>
    <w:rsid w:val="00676777"/>
    <w:rsid w:val="00676C2B"/>
    <w:rsid w:val="00676FA3"/>
    <w:rsid w:val="00677316"/>
    <w:rsid w:val="00677DEA"/>
    <w:rsid w:val="00680396"/>
    <w:rsid w:val="0068176C"/>
    <w:rsid w:val="006819E9"/>
    <w:rsid w:val="00681D59"/>
    <w:rsid w:val="006823EF"/>
    <w:rsid w:val="00683644"/>
    <w:rsid w:val="00684B75"/>
    <w:rsid w:val="0068511B"/>
    <w:rsid w:val="0068623A"/>
    <w:rsid w:val="00686B72"/>
    <w:rsid w:val="00687AAC"/>
    <w:rsid w:val="0069010A"/>
    <w:rsid w:val="00690407"/>
    <w:rsid w:val="006921E2"/>
    <w:rsid w:val="0069220D"/>
    <w:rsid w:val="00692A0B"/>
    <w:rsid w:val="00693A7D"/>
    <w:rsid w:val="00693EBD"/>
    <w:rsid w:val="006944EC"/>
    <w:rsid w:val="0069485C"/>
    <w:rsid w:val="00694EB1"/>
    <w:rsid w:val="00695955"/>
    <w:rsid w:val="006962F1"/>
    <w:rsid w:val="0069647F"/>
    <w:rsid w:val="00696A0F"/>
    <w:rsid w:val="00696AB8"/>
    <w:rsid w:val="00697D2F"/>
    <w:rsid w:val="00697D6D"/>
    <w:rsid w:val="006A02E3"/>
    <w:rsid w:val="006A0CD5"/>
    <w:rsid w:val="006A1494"/>
    <w:rsid w:val="006A2043"/>
    <w:rsid w:val="006A2341"/>
    <w:rsid w:val="006A23DA"/>
    <w:rsid w:val="006A28D5"/>
    <w:rsid w:val="006A2F3E"/>
    <w:rsid w:val="006A3289"/>
    <w:rsid w:val="006A3933"/>
    <w:rsid w:val="006A4E00"/>
    <w:rsid w:val="006A6000"/>
    <w:rsid w:val="006A66AE"/>
    <w:rsid w:val="006A6C8E"/>
    <w:rsid w:val="006A73D4"/>
    <w:rsid w:val="006A7E73"/>
    <w:rsid w:val="006B1022"/>
    <w:rsid w:val="006B11D9"/>
    <w:rsid w:val="006B1C47"/>
    <w:rsid w:val="006B2935"/>
    <w:rsid w:val="006B29B2"/>
    <w:rsid w:val="006B30B6"/>
    <w:rsid w:val="006B3531"/>
    <w:rsid w:val="006B4281"/>
    <w:rsid w:val="006B4E65"/>
    <w:rsid w:val="006B5356"/>
    <w:rsid w:val="006B7422"/>
    <w:rsid w:val="006B78E5"/>
    <w:rsid w:val="006C046E"/>
    <w:rsid w:val="006C07E6"/>
    <w:rsid w:val="006C10D8"/>
    <w:rsid w:val="006C1C68"/>
    <w:rsid w:val="006C2798"/>
    <w:rsid w:val="006C280C"/>
    <w:rsid w:val="006C287D"/>
    <w:rsid w:val="006C4341"/>
    <w:rsid w:val="006C5942"/>
    <w:rsid w:val="006C6574"/>
    <w:rsid w:val="006C6F16"/>
    <w:rsid w:val="006C7537"/>
    <w:rsid w:val="006D0A2B"/>
    <w:rsid w:val="006D227A"/>
    <w:rsid w:val="006D2FD0"/>
    <w:rsid w:val="006D3A53"/>
    <w:rsid w:val="006D3ACB"/>
    <w:rsid w:val="006D433B"/>
    <w:rsid w:val="006D4930"/>
    <w:rsid w:val="006D5163"/>
    <w:rsid w:val="006D5225"/>
    <w:rsid w:val="006E010B"/>
    <w:rsid w:val="006E0C28"/>
    <w:rsid w:val="006E2D78"/>
    <w:rsid w:val="006E4126"/>
    <w:rsid w:val="006E412F"/>
    <w:rsid w:val="006E5182"/>
    <w:rsid w:val="006E546D"/>
    <w:rsid w:val="006E566F"/>
    <w:rsid w:val="006E5894"/>
    <w:rsid w:val="006E5B50"/>
    <w:rsid w:val="006E5B52"/>
    <w:rsid w:val="006E6142"/>
    <w:rsid w:val="006E66A9"/>
    <w:rsid w:val="006E67D1"/>
    <w:rsid w:val="006E6A15"/>
    <w:rsid w:val="006F0D2E"/>
    <w:rsid w:val="006F14D0"/>
    <w:rsid w:val="006F1D50"/>
    <w:rsid w:val="006F2575"/>
    <w:rsid w:val="006F2CEB"/>
    <w:rsid w:val="006F3FB4"/>
    <w:rsid w:val="006F438F"/>
    <w:rsid w:val="006F6781"/>
    <w:rsid w:val="00700899"/>
    <w:rsid w:val="00701BB0"/>
    <w:rsid w:val="00702EA2"/>
    <w:rsid w:val="00704261"/>
    <w:rsid w:val="00705E49"/>
    <w:rsid w:val="007064C3"/>
    <w:rsid w:val="007102B4"/>
    <w:rsid w:val="00711F1A"/>
    <w:rsid w:val="007138C0"/>
    <w:rsid w:val="00713E88"/>
    <w:rsid w:val="00714724"/>
    <w:rsid w:val="007147D9"/>
    <w:rsid w:val="00714998"/>
    <w:rsid w:val="00716E0F"/>
    <w:rsid w:val="0071784A"/>
    <w:rsid w:val="00720E9D"/>
    <w:rsid w:val="00721005"/>
    <w:rsid w:val="007212A7"/>
    <w:rsid w:val="00721324"/>
    <w:rsid w:val="00721CD9"/>
    <w:rsid w:val="00722064"/>
    <w:rsid w:val="00722C59"/>
    <w:rsid w:val="00722E7A"/>
    <w:rsid w:val="00723CE8"/>
    <w:rsid w:val="00724031"/>
    <w:rsid w:val="0072466F"/>
    <w:rsid w:val="00724A7F"/>
    <w:rsid w:val="007254BB"/>
    <w:rsid w:val="0072632B"/>
    <w:rsid w:val="007268B9"/>
    <w:rsid w:val="00726D10"/>
    <w:rsid w:val="00727410"/>
    <w:rsid w:val="0073084B"/>
    <w:rsid w:val="0073093B"/>
    <w:rsid w:val="00731293"/>
    <w:rsid w:val="00731FE1"/>
    <w:rsid w:val="00733BA9"/>
    <w:rsid w:val="00733CD5"/>
    <w:rsid w:val="00734770"/>
    <w:rsid w:val="00734DCB"/>
    <w:rsid w:val="00735696"/>
    <w:rsid w:val="007358AD"/>
    <w:rsid w:val="00736685"/>
    <w:rsid w:val="0074107C"/>
    <w:rsid w:val="007411FA"/>
    <w:rsid w:val="00741915"/>
    <w:rsid w:val="0074579F"/>
    <w:rsid w:val="00745CDA"/>
    <w:rsid w:val="00745D6B"/>
    <w:rsid w:val="00745F8D"/>
    <w:rsid w:val="00746AD2"/>
    <w:rsid w:val="00747830"/>
    <w:rsid w:val="0074788C"/>
    <w:rsid w:val="007478F4"/>
    <w:rsid w:val="00747AB8"/>
    <w:rsid w:val="00747BC7"/>
    <w:rsid w:val="007514FF"/>
    <w:rsid w:val="007530EB"/>
    <w:rsid w:val="00753E7E"/>
    <w:rsid w:val="00754ADF"/>
    <w:rsid w:val="007557C1"/>
    <w:rsid w:val="00755A89"/>
    <w:rsid w:val="00756BA9"/>
    <w:rsid w:val="00757626"/>
    <w:rsid w:val="00757FC8"/>
    <w:rsid w:val="0076061C"/>
    <w:rsid w:val="007617AC"/>
    <w:rsid w:val="007622CE"/>
    <w:rsid w:val="00765684"/>
    <w:rsid w:val="00765B73"/>
    <w:rsid w:val="00772CE4"/>
    <w:rsid w:val="00772D02"/>
    <w:rsid w:val="00773AE9"/>
    <w:rsid w:val="0077467B"/>
    <w:rsid w:val="00774879"/>
    <w:rsid w:val="00774C57"/>
    <w:rsid w:val="00777926"/>
    <w:rsid w:val="007800EC"/>
    <w:rsid w:val="00780202"/>
    <w:rsid w:val="00780889"/>
    <w:rsid w:val="00781B98"/>
    <w:rsid w:val="00781C63"/>
    <w:rsid w:val="00781E88"/>
    <w:rsid w:val="00781EB0"/>
    <w:rsid w:val="00782B0B"/>
    <w:rsid w:val="00782B52"/>
    <w:rsid w:val="007841B4"/>
    <w:rsid w:val="007843F6"/>
    <w:rsid w:val="00784495"/>
    <w:rsid w:val="00784E4C"/>
    <w:rsid w:val="00786919"/>
    <w:rsid w:val="00786EFF"/>
    <w:rsid w:val="00787AD3"/>
    <w:rsid w:val="00787B74"/>
    <w:rsid w:val="0079001A"/>
    <w:rsid w:val="0079005C"/>
    <w:rsid w:val="007912B2"/>
    <w:rsid w:val="007915DB"/>
    <w:rsid w:val="00792D6A"/>
    <w:rsid w:val="007934EA"/>
    <w:rsid w:val="007941CD"/>
    <w:rsid w:val="007951DD"/>
    <w:rsid w:val="007953E7"/>
    <w:rsid w:val="0079628D"/>
    <w:rsid w:val="00796E0C"/>
    <w:rsid w:val="007A093C"/>
    <w:rsid w:val="007A18BE"/>
    <w:rsid w:val="007A2DAC"/>
    <w:rsid w:val="007A3A01"/>
    <w:rsid w:val="007A3BF2"/>
    <w:rsid w:val="007A5519"/>
    <w:rsid w:val="007A5881"/>
    <w:rsid w:val="007A589F"/>
    <w:rsid w:val="007A6DDB"/>
    <w:rsid w:val="007A7CD8"/>
    <w:rsid w:val="007B18DD"/>
    <w:rsid w:val="007B213A"/>
    <w:rsid w:val="007B2A87"/>
    <w:rsid w:val="007B3145"/>
    <w:rsid w:val="007B4A68"/>
    <w:rsid w:val="007B5812"/>
    <w:rsid w:val="007B5D20"/>
    <w:rsid w:val="007B6330"/>
    <w:rsid w:val="007B6706"/>
    <w:rsid w:val="007B6F28"/>
    <w:rsid w:val="007B7593"/>
    <w:rsid w:val="007C0A98"/>
    <w:rsid w:val="007C11D3"/>
    <w:rsid w:val="007C1245"/>
    <w:rsid w:val="007C124D"/>
    <w:rsid w:val="007C158D"/>
    <w:rsid w:val="007C1E82"/>
    <w:rsid w:val="007C2172"/>
    <w:rsid w:val="007C28A7"/>
    <w:rsid w:val="007C2E74"/>
    <w:rsid w:val="007C33D4"/>
    <w:rsid w:val="007C3A9C"/>
    <w:rsid w:val="007C3C92"/>
    <w:rsid w:val="007C3D9B"/>
    <w:rsid w:val="007C4609"/>
    <w:rsid w:val="007C6008"/>
    <w:rsid w:val="007C7585"/>
    <w:rsid w:val="007D05AA"/>
    <w:rsid w:val="007D12EE"/>
    <w:rsid w:val="007D137E"/>
    <w:rsid w:val="007D1AA7"/>
    <w:rsid w:val="007D1C0E"/>
    <w:rsid w:val="007D2211"/>
    <w:rsid w:val="007D24D9"/>
    <w:rsid w:val="007D2BA6"/>
    <w:rsid w:val="007D42F0"/>
    <w:rsid w:val="007D4BD3"/>
    <w:rsid w:val="007D4BF4"/>
    <w:rsid w:val="007D540C"/>
    <w:rsid w:val="007D67B4"/>
    <w:rsid w:val="007D68BF"/>
    <w:rsid w:val="007D6BF5"/>
    <w:rsid w:val="007D6E1D"/>
    <w:rsid w:val="007D709F"/>
    <w:rsid w:val="007D7F88"/>
    <w:rsid w:val="007E0EA2"/>
    <w:rsid w:val="007E149E"/>
    <w:rsid w:val="007E15B7"/>
    <w:rsid w:val="007E1D76"/>
    <w:rsid w:val="007E1EBE"/>
    <w:rsid w:val="007E20BB"/>
    <w:rsid w:val="007E24AE"/>
    <w:rsid w:val="007E2914"/>
    <w:rsid w:val="007E29CF"/>
    <w:rsid w:val="007E2CA8"/>
    <w:rsid w:val="007E3ED4"/>
    <w:rsid w:val="007E40BF"/>
    <w:rsid w:val="007E4A19"/>
    <w:rsid w:val="007E6900"/>
    <w:rsid w:val="007E6E1B"/>
    <w:rsid w:val="007E6F6A"/>
    <w:rsid w:val="007E7802"/>
    <w:rsid w:val="007F0730"/>
    <w:rsid w:val="007F0E7D"/>
    <w:rsid w:val="007F107B"/>
    <w:rsid w:val="007F1365"/>
    <w:rsid w:val="007F20DA"/>
    <w:rsid w:val="007F219F"/>
    <w:rsid w:val="007F23AB"/>
    <w:rsid w:val="007F345B"/>
    <w:rsid w:val="007F35F8"/>
    <w:rsid w:val="007F3A28"/>
    <w:rsid w:val="007F3B3F"/>
    <w:rsid w:val="007F3B85"/>
    <w:rsid w:val="007F5EE0"/>
    <w:rsid w:val="007F73A6"/>
    <w:rsid w:val="00800E58"/>
    <w:rsid w:val="008014A3"/>
    <w:rsid w:val="00802842"/>
    <w:rsid w:val="00802E7F"/>
    <w:rsid w:val="0080336B"/>
    <w:rsid w:val="00803D6C"/>
    <w:rsid w:val="00804B17"/>
    <w:rsid w:val="00805669"/>
    <w:rsid w:val="00805A51"/>
    <w:rsid w:val="00805F9E"/>
    <w:rsid w:val="00810111"/>
    <w:rsid w:val="008102F3"/>
    <w:rsid w:val="008104C6"/>
    <w:rsid w:val="00811319"/>
    <w:rsid w:val="00811A2D"/>
    <w:rsid w:val="00812636"/>
    <w:rsid w:val="00812AF2"/>
    <w:rsid w:val="008139FC"/>
    <w:rsid w:val="008141BD"/>
    <w:rsid w:val="008149F2"/>
    <w:rsid w:val="0081588D"/>
    <w:rsid w:val="00815AED"/>
    <w:rsid w:val="00816328"/>
    <w:rsid w:val="00816C33"/>
    <w:rsid w:val="0081702D"/>
    <w:rsid w:val="00817EE8"/>
    <w:rsid w:val="00821976"/>
    <w:rsid w:val="0082203F"/>
    <w:rsid w:val="008220E3"/>
    <w:rsid w:val="00823CF0"/>
    <w:rsid w:val="008249DC"/>
    <w:rsid w:val="00830066"/>
    <w:rsid w:val="0083049B"/>
    <w:rsid w:val="008328A2"/>
    <w:rsid w:val="008334B6"/>
    <w:rsid w:val="00833BD8"/>
    <w:rsid w:val="008347C4"/>
    <w:rsid w:val="008352E1"/>
    <w:rsid w:val="00836564"/>
    <w:rsid w:val="00837319"/>
    <w:rsid w:val="00841094"/>
    <w:rsid w:val="0084209A"/>
    <w:rsid w:val="00842425"/>
    <w:rsid w:val="00843E2E"/>
    <w:rsid w:val="008449C1"/>
    <w:rsid w:val="00846A64"/>
    <w:rsid w:val="00847693"/>
    <w:rsid w:val="00847B0A"/>
    <w:rsid w:val="00847DF3"/>
    <w:rsid w:val="00851467"/>
    <w:rsid w:val="00852DC5"/>
    <w:rsid w:val="008536C7"/>
    <w:rsid w:val="00853B4E"/>
    <w:rsid w:val="0085437A"/>
    <w:rsid w:val="00855312"/>
    <w:rsid w:val="00855594"/>
    <w:rsid w:val="0085686D"/>
    <w:rsid w:val="00856D07"/>
    <w:rsid w:val="008575A9"/>
    <w:rsid w:val="0085797B"/>
    <w:rsid w:val="00861015"/>
    <w:rsid w:val="00861F90"/>
    <w:rsid w:val="00862110"/>
    <w:rsid w:val="00863E4E"/>
    <w:rsid w:val="00863FA7"/>
    <w:rsid w:val="0086498F"/>
    <w:rsid w:val="00864C06"/>
    <w:rsid w:val="00864FF7"/>
    <w:rsid w:val="00865154"/>
    <w:rsid w:val="00865201"/>
    <w:rsid w:val="008667E4"/>
    <w:rsid w:val="008668E5"/>
    <w:rsid w:val="008678B6"/>
    <w:rsid w:val="00867BB7"/>
    <w:rsid w:val="0087169B"/>
    <w:rsid w:val="008722BD"/>
    <w:rsid w:val="00872A9C"/>
    <w:rsid w:val="00872C6C"/>
    <w:rsid w:val="0087323B"/>
    <w:rsid w:val="00873465"/>
    <w:rsid w:val="00873B40"/>
    <w:rsid w:val="00874254"/>
    <w:rsid w:val="0087530A"/>
    <w:rsid w:val="00875442"/>
    <w:rsid w:val="008763C7"/>
    <w:rsid w:val="00877E13"/>
    <w:rsid w:val="00877E3C"/>
    <w:rsid w:val="0088117E"/>
    <w:rsid w:val="008826F6"/>
    <w:rsid w:val="00882708"/>
    <w:rsid w:val="008835ED"/>
    <w:rsid w:val="00883DE9"/>
    <w:rsid w:val="00884584"/>
    <w:rsid w:val="00885366"/>
    <w:rsid w:val="00886C8F"/>
    <w:rsid w:val="00887BC3"/>
    <w:rsid w:val="00890349"/>
    <w:rsid w:val="00893091"/>
    <w:rsid w:val="00893A15"/>
    <w:rsid w:val="008944EC"/>
    <w:rsid w:val="00894C4A"/>
    <w:rsid w:val="00895B89"/>
    <w:rsid w:val="00895F1A"/>
    <w:rsid w:val="00895FD6"/>
    <w:rsid w:val="00896606"/>
    <w:rsid w:val="00897632"/>
    <w:rsid w:val="008A10C5"/>
    <w:rsid w:val="008A1C99"/>
    <w:rsid w:val="008A2155"/>
    <w:rsid w:val="008A216F"/>
    <w:rsid w:val="008A24C9"/>
    <w:rsid w:val="008A296D"/>
    <w:rsid w:val="008A428B"/>
    <w:rsid w:val="008A52B0"/>
    <w:rsid w:val="008A616C"/>
    <w:rsid w:val="008A7679"/>
    <w:rsid w:val="008A7E58"/>
    <w:rsid w:val="008B0874"/>
    <w:rsid w:val="008B25C4"/>
    <w:rsid w:val="008B2DC0"/>
    <w:rsid w:val="008B353A"/>
    <w:rsid w:val="008B39FF"/>
    <w:rsid w:val="008B5285"/>
    <w:rsid w:val="008B5ADB"/>
    <w:rsid w:val="008B5F33"/>
    <w:rsid w:val="008B7164"/>
    <w:rsid w:val="008C048F"/>
    <w:rsid w:val="008C04AF"/>
    <w:rsid w:val="008C1F11"/>
    <w:rsid w:val="008C5AF9"/>
    <w:rsid w:val="008C618F"/>
    <w:rsid w:val="008C67CE"/>
    <w:rsid w:val="008C68C3"/>
    <w:rsid w:val="008C6BA2"/>
    <w:rsid w:val="008C6F7F"/>
    <w:rsid w:val="008C75D4"/>
    <w:rsid w:val="008D0074"/>
    <w:rsid w:val="008D0AEC"/>
    <w:rsid w:val="008D0B80"/>
    <w:rsid w:val="008D1465"/>
    <w:rsid w:val="008D184C"/>
    <w:rsid w:val="008D243F"/>
    <w:rsid w:val="008D3EE1"/>
    <w:rsid w:val="008D4E90"/>
    <w:rsid w:val="008D5009"/>
    <w:rsid w:val="008D67C5"/>
    <w:rsid w:val="008D6F40"/>
    <w:rsid w:val="008D740E"/>
    <w:rsid w:val="008E1B8E"/>
    <w:rsid w:val="008E20C6"/>
    <w:rsid w:val="008E25C6"/>
    <w:rsid w:val="008E3102"/>
    <w:rsid w:val="008E472A"/>
    <w:rsid w:val="008E4840"/>
    <w:rsid w:val="008E5F68"/>
    <w:rsid w:val="008E6977"/>
    <w:rsid w:val="008F011C"/>
    <w:rsid w:val="008F03D0"/>
    <w:rsid w:val="008F058A"/>
    <w:rsid w:val="008F061F"/>
    <w:rsid w:val="008F15D3"/>
    <w:rsid w:val="008F2E58"/>
    <w:rsid w:val="008F4304"/>
    <w:rsid w:val="008F4520"/>
    <w:rsid w:val="008F49D9"/>
    <w:rsid w:val="008F4A1C"/>
    <w:rsid w:val="008F5A2C"/>
    <w:rsid w:val="008F6064"/>
    <w:rsid w:val="008F6F74"/>
    <w:rsid w:val="009006B8"/>
    <w:rsid w:val="00900AA8"/>
    <w:rsid w:val="00902CD9"/>
    <w:rsid w:val="00903028"/>
    <w:rsid w:val="00904D1F"/>
    <w:rsid w:val="00905067"/>
    <w:rsid w:val="00906B50"/>
    <w:rsid w:val="00906C93"/>
    <w:rsid w:val="0090703A"/>
    <w:rsid w:val="0090784F"/>
    <w:rsid w:val="00907CAA"/>
    <w:rsid w:val="00910236"/>
    <w:rsid w:val="00911010"/>
    <w:rsid w:val="00911F0F"/>
    <w:rsid w:val="00912D94"/>
    <w:rsid w:val="00913543"/>
    <w:rsid w:val="00913DE3"/>
    <w:rsid w:val="00914410"/>
    <w:rsid w:val="009147BD"/>
    <w:rsid w:val="0091790A"/>
    <w:rsid w:val="00920E2B"/>
    <w:rsid w:val="00921E81"/>
    <w:rsid w:val="00921F9B"/>
    <w:rsid w:val="00922B99"/>
    <w:rsid w:val="00922F48"/>
    <w:rsid w:val="0092319A"/>
    <w:rsid w:val="009232F6"/>
    <w:rsid w:val="009234D0"/>
    <w:rsid w:val="00923924"/>
    <w:rsid w:val="009242F4"/>
    <w:rsid w:val="00924851"/>
    <w:rsid w:val="00924A00"/>
    <w:rsid w:val="00926D3D"/>
    <w:rsid w:val="0092773D"/>
    <w:rsid w:val="00930A25"/>
    <w:rsid w:val="00931744"/>
    <w:rsid w:val="00931829"/>
    <w:rsid w:val="00932147"/>
    <w:rsid w:val="00934E2E"/>
    <w:rsid w:val="0093602D"/>
    <w:rsid w:val="00937A77"/>
    <w:rsid w:val="00940216"/>
    <w:rsid w:val="009406D7"/>
    <w:rsid w:val="00942787"/>
    <w:rsid w:val="00942C46"/>
    <w:rsid w:val="00942C5F"/>
    <w:rsid w:val="00944568"/>
    <w:rsid w:val="009452BC"/>
    <w:rsid w:val="009460A7"/>
    <w:rsid w:val="009463A9"/>
    <w:rsid w:val="009469A8"/>
    <w:rsid w:val="009469CF"/>
    <w:rsid w:val="00950573"/>
    <w:rsid w:val="0095058B"/>
    <w:rsid w:val="00952602"/>
    <w:rsid w:val="0095351B"/>
    <w:rsid w:val="00953AE3"/>
    <w:rsid w:val="00953DFA"/>
    <w:rsid w:val="009543F7"/>
    <w:rsid w:val="0095463F"/>
    <w:rsid w:val="00955656"/>
    <w:rsid w:val="0095779B"/>
    <w:rsid w:val="009579E7"/>
    <w:rsid w:val="009605C4"/>
    <w:rsid w:val="00960EEF"/>
    <w:rsid w:val="009616E1"/>
    <w:rsid w:val="00961D4F"/>
    <w:rsid w:val="009628B2"/>
    <w:rsid w:val="00962EA6"/>
    <w:rsid w:val="00963E77"/>
    <w:rsid w:val="009642E5"/>
    <w:rsid w:val="0096472F"/>
    <w:rsid w:val="00965ADC"/>
    <w:rsid w:val="009660C1"/>
    <w:rsid w:val="00967ED8"/>
    <w:rsid w:val="00971EF5"/>
    <w:rsid w:val="009723C9"/>
    <w:rsid w:val="00973C8C"/>
    <w:rsid w:val="00974F0F"/>
    <w:rsid w:val="0097637D"/>
    <w:rsid w:val="00976397"/>
    <w:rsid w:val="00977677"/>
    <w:rsid w:val="00980733"/>
    <w:rsid w:val="00980839"/>
    <w:rsid w:val="009823B6"/>
    <w:rsid w:val="009837B9"/>
    <w:rsid w:val="00984EA7"/>
    <w:rsid w:val="009855F8"/>
    <w:rsid w:val="00985C67"/>
    <w:rsid w:val="0098602D"/>
    <w:rsid w:val="00986B3C"/>
    <w:rsid w:val="00987CBE"/>
    <w:rsid w:val="00987E88"/>
    <w:rsid w:val="00991435"/>
    <w:rsid w:val="0099187F"/>
    <w:rsid w:val="0099201C"/>
    <w:rsid w:val="009925F2"/>
    <w:rsid w:val="00992DEC"/>
    <w:rsid w:val="009931CF"/>
    <w:rsid w:val="0099375D"/>
    <w:rsid w:val="00994113"/>
    <w:rsid w:val="00994197"/>
    <w:rsid w:val="009947BB"/>
    <w:rsid w:val="00995FDB"/>
    <w:rsid w:val="00996848"/>
    <w:rsid w:val="00996EFF"/>
    <w:rsid w:val="00997516"/>
    <w:rsid w:val="00997742"/>
    <w:rsid w:val="009A1BBD"/>
    <w:rsid w:val="009A2EB3"/>
    <w:rsid w:val="009A718D"/>
    <w:rsid w:val="009A77C8"/>
    <w:rsid w:val="009A7B67"/>
    <w:rsid w:val="009A7FCE"/>
    <w:rsid w:val="009B3148"/>
    <w:rsid w:val="009B57B4"/>
    <w:rsid w:val="009B5EC7"/>
    <w:rsid w:val="009B7111"/>
    <w:rsid w:val="009C03E3"/>
    <w:rsid w:val="009C111C"/>
    <w:rsid w:val="009C2F78"/>
    <w:rsid w:val="009C335B"/>
    <w:rsid w:val="009C3D84"/>
    <w:rsid w:val="009C43A8"/>
    <w:rsid w:val="009C4A2E"/>
    <w:rsid w:val="009C5345"/>
    <w:rsid w:val="009C5EC4"/>
    <w:rsid w:val="009C65DA"/>
    <w:rsid w:val="009C685F"/>
    <w:rsid w:val="009C6966"/>
    <w:rsid w:val="009C6F0C"/>
    <w:rsid w:val="009C7AD3"/>
    <w:rsid w:val="009C7F81"/>
    <w:rsid w:val="009D00A5"/>
    <w:rsid w:val="009D22A3"/>
    <w:rsid w:val="009D2DEA"/>
    <w:rsid w:val="009D55F2"/>
    <w:rsid w:val="009D65CC"/>
    <w:rsid w:val="009D7B53"/>
    <w:rsid w:val="009E003A"/>
    <w:rsid w:val="009E0342"/>
    <w:rsid w:val="009E05F1"/>
    <w:rsid w:val="009E125C"/>
    <w:rsid w:val="009E21D1"/>
    <w:rsid w:val="009E276F"/>
    <w:rsid w:val="009E2965"/>
    <w:rsid w:val="009E2DF0"/>
    <w:rsid w:val="009E2E6D"/>
    <w:rsid w:val="009E3938"/>
    <w:rsid w:val="009E4CF0"/>
    <w:rsid w:val="009E58EF"/>
    <w:rsid w:val="009E59F1"/>
    <w:rsid w:val="009E5F0C"/>
    <w:rsid w:val="009E63EB"/>
    <w:rsid w:val="009E64C0"/>
    <w:rsid w:val="009E6727"/>
    <w:rsid w:val="009E7C19"/>
    <w:rsid w:val="009F0444"/>
    <w:rsid w:val="009F17B5"/>
    <w:rsid w:val="009F1D07"/>
    <w:rsid w:val="009F37BA"/>
    <w:rsid w:val="009F3C6F"/>
    <w:rsid w:val="009F4983"/>
    <w:rsid w:val="009F4A44"/>
    <w:rsid w:val="009F4BC1"/>
    <w:rsid w:val="009F4DD7"/>
    <w:rsid w:val="009F5699"/>
    <w:rsid w:val="009F6565"/>
    <w:rsid w:val="009F6D8B"/>
    <w:rsid w:val="009F75F8"/>
    <w:rsid w:val="00A00519"/>
    <w:rsid w:val="00A0082F"/>
    <w:rsid w:val="00A00F09"/>
    <w:rsid w:val="00A015EE"/>
    <w:rsid w:val="00A024C0"/>
    <w:rsid w:val="00A027EA"/>
    <w:rsid w:val="00A02900"/>
    <w:rsid w:val="00A02ACF"/>
    <w:rsid w:val="00A03EFE"/>
    <w:rsid w:val="00A043C9"/>
    <w:rsid w:val="00A04E1F"/>
    <w:rsid w:val="00A06F8A"/>
    <w:rsid w:val="00A073F1"/>
    <w:rsid w:val="00A07E5B"/>
    <w:rsid w:val="00A110C7"/>
    <w:rsid w:val="00A11CA5"/>
    <w:rsid w:val="00A123C9"/>
    <w:rsid w:val="00A13615"/>
    <w:rsid w:val="00A13730"/>
    <w:rsid w:val="00A139EB"/>
    <w:rsid w:val="00A13C51"/>
    <w:rsid w:val="00A14040"/>
    <w:rsid w:val="00A145E8"/>
    <w:rsid w:val="00A1499A"/>
    <w:rsid w:val="00A15DEA"/>
    <w:rsid w:val="00A2046E"/>
    <w:rsid w:val="00A22643"/>
    <w:rsid w:val="00A22E6C"/>
    <w:rsid w:val="00A23AA5"/>
    <w:rsid w:val="00A24251"/>
    <w:rsid w:val="00A24328"/>
    <w:rsid w:val="00A26409"/>
    <w:rsid w:val="00A26F05"/>
    <w:rsid w:val="00A300F4"/>
    <w:rsid w:val="00A3218F"/>
    <w:rsid w:val="00A32F62"/>
    <w:rsid w:val="00A32F74"/>
    <w:rsid w:val="00A3374A"/>
    <w:rsid w:val="00A33CEC"/>
    <w:rsid w:val="00A35358"/>
    <w:rsid w:val="00A369FD"/>
    <w:rsid w:val="00A37C25"/>
    <w:rsid w:val="00A41A88"/>
    <w:rsid w:val="00A42562"/>
    <w:rsid w:val="00A4289A"/>
    <w:rsid w:val="00A43D30"/>
    <w:rsid w:val="00A44C7F"/>
    <w:rsid w:val="00A452C7"/>
    <w:rsid w:val="00A45339"/>
    <w:rsid w:val="00A464ED"/>
    <w:rsid w:val="00A47AF8"/>
    <w:rsid w:val="00A50084"/>
    <w:rsid w:val="00A502C4"/>
    <w:rsid w:val="00A506FE"/>
    <w:rsid w:val="00A507CF"/>
    <w:rsid w:val="00A510D5"/>
    <w:rsid w:val="00A51490"/>
    <w:rsid w:val="00A5226E"/>
    <w:rsid w:val="00A5305D"/>
    <w:rsid w:val="00A541E1"/>
    <w:rsid w:val="00A54E45"/>
    <w:rsid w:val="00A54F0E"/>
    <w:rsid w:val="00A550B5"/>
    <w:rsid w:val="00A5515C"/>
    <w:rsid w:val="00A55494"/>
    <w:rsid w:val="00A562F3"/>
    <w:rsid w:val="00A5635E"/>
    <w:rsid w:val="00A57631"/>
    <w:rsid w:val="00A57E10"/>
    <w:rsid w:val="00A610E2"/>
    <w:rsid w:val="00A61E38"/>
    <w:rsid w:val="00A629BD"/>
    <w:rsid w:val="00A6468D"/>
    <w:rsid w:val="00A64E05"/>
    <w:rsid w:val="00A64E89"/>
    <w:rsid w:val="00A659C8"/>
    <w:rsid w:val="00A6648A"/>
    <w:rsid w:val="00A66E02"/>
    <w:rsid w:val="00A67AE0"/>
    <w:rsid w:val="00A72136"/>
    <w:rsid w:val="00A75059"/>
    <w:rsid w:val="00A75FEF"/>
    <w:rsid w:val="00A76956"/>
    <w:rsid w:val="00A76B31"/>
    <w:rsid w:val="00A76C49"/>
    <w:rsid w:val="00A771CB"/>
    <w:rsid w:val="00A77C14"/>
    <w:rsid w:val="00A80CEF"/>
    <w:rsid w:val="00A8198D"/>
    <w:rsid w:val="00A8210A"/>
    <w:rsid w:val="00A83B23"/>
    <w:rsid w:val="00A8498E"/>
    <w:rsid w:val="00A8523F"/>
    <w:rsid w:val="00A85762"/>
    <w:rsid w:val="00A85DFF"/>
    <w:rsid w:val="00A865AA"/>
    <w:rsid w:val="00A87136"/>
    <w:rsid w:val="00A87160"/>
    <w:rsid w:val="00A87B1E"/>
    <w:rsid w:val="00A87CA9"/>
    <w:rsid w:val="00A90540"/>
    <w:rsid w:val="00A92F82"/>
    <w:rsid w:val="00A94C54"/>
    <w:rsid w:val="00A95E22"/>
    <w:rsid w:val="00A9763E"/>
    <w:rsid w:val="00AA16A9"/>
    <w:rsid w:val="00AA22BD"/>
    <w:rsid w:val="00AA2381"/>
    <w:rsid w:val="00AA249E"/>
    <w:rsid w:val="00AA46DD"/>
    <w:rsid w:val="00AA5BE5"/>
    <w:rsid w:val="00AA7448"/>
    <w:rsid w:val="00AA7A58"/>
    <w:rsid w:val="00AA7EDE"/>
    <w:rsid w:val="00AA7FBF"/>
    <w:rsid w:val="00AB03AA"/>
    <w:rsid w:val="00AB1575"/>
    <w:rsid w:val="00AB1A57"/>
    <w:rsid w:val="00AB1D7A"/>
    <w:rsid w:val="00AB1FDF"/>
    <w:rsid w:val="00AB20FD"/>
    <w:rsid w:val="00AB24C7"/>
    <w:rsid w:val="00AB2F96"/>
    <w:rsid w:val="00AB3DB3"/>
    <w:rsid w:val="00AB414D"/>
    <w:rsid w:val="00AB56E5"/>
    <w:rsid w:val="00AB5FF1"/>
    <w:rsid w:val="00AB6291"/>
    <w:rsid w:val="00AB6765"/>
    <w:rsid w:val="00AB6CE7"/>
    <w:rsid w:val="00AB742A"/>
    <w:rsid w:val="00AB751B"/>
    <w:rsid w:val="00AB7B95"/>
    <w:rsid w:val="00AC19BB"/>
    <w:rsid w:val="00AC2227"/>
    <w:rsid w:val="00AC2A8F"/>
    <w:rsid w:val="00AC578D"/>
    <w:rsid w:val="00AC5FC6"/>
    <w:rsid w:val="00AC67B0"/>
    <w:rsid w:val="00AC75B9"/>
    <w:rsid w:val="00AD034E"/>
    <w:rsid w:val="00AD08E7"/>
    <w:rsid w:val="00AD1C86"/>
    <w:rsid w:val="00AD2480"/>
    <w:rsid w:val="00AD2656"/>
    <w:rsid w:val="00AD31D7"/>
    <w:rsid w:val="00AD4132"/>
    <w:rsid w:val="00AD444A"/>
    <w:rsid w:val="00AD5FEF"/>
    <w:rsid w:val="00AD64AE"/>
    <w:rsid w:val="00AD7B1E"/>
    <w:rsid w:val="00AE0063"/>
    <w:rsid w:val="00AE01F2"/>
    <w:rsid w:val="00AE046E"/>
    <w:rsid w:val="00AE0F07"/>
    <w:rsid w:val="00AE1884"/>
    <w:rsid w:val="00AE194C"/>
    <w:rsid w:val="00AE328D"/>
    <w:rsid w:val="00AE3BE2"/>
    <w:rsid w:val="00AE40A1"/>
    <w:rsid w:val="00AE426F"/>
    <w:rsid w:val="00AE4930"/>
    <w:rsid w:val="00AE4F88"/>
    <w:rsid w:val="00AE570D"/>
    <w:rsid w:val="00AE7B92"/>
    <w:rsid w:val="00AE7DAB"/>
    <w:rsid w:val="00AE7DFE"/>
    <w:rsid w:val="00AF0059"/>
    <w:rsid w:val="00AF07E4"/>
    <w:rsid w:val="00AF0DA4"/>
    <w:rsid w:val="00AF1298"/>
    <w:rsid w:val="00AF22D2"/>
    <w:rsid w:val="00AF23C1"/>
    <w:rsid w:val="00AF2894"/>
    <w:rsid w:val="00AF3681"/>
    <w:rsid w:val="00AF3772"/>
    <w:rsid w:val="00AF6398"/>
    <w:rsid w:val="00B01529"/>
    <w:rsid w:val="00B01679"/>
    <w:rsid w:val="00B0203B"/>
    <w:rsid w:val="00B0379E"/>
    <w:rsid w:val="00B03AAB"/>
    <w:rsid w:val="00B03B18"/>
    <w:rsid w:val="00B03FC9"/>
    <w:rsid w:val="00B04167"/>
    <w:rsid w:val="00B05F73"/>
    <w:rsid w:val="00B06978"/>
    <w:rsid w:val="00B07591"/>
    <w:rsid w:val="00B10C04"/>
    <w:rsid w:val="00B11C82"/>
    <w:rsid w:val="00B14035"/>
    <w:rsid w:val="00B147D9"/>
    <w:rsid w:val="00B1580A"/>
    <w:rsid w:val="00B16405"/>
    <w:rsid w:val="00B16646"/>
    <w:rsid w:val="00B16F12"/>
    <w:rsid w:val="00B17F96"/>
    <w:rsid w:val="00B20ACD"/>
    <w:rsid w:val="00B22B1D"/>
    <w:rsid w:val="00B22E9E"/>
    <w:rsid w:val="00B245E4"/>
    <w:rsid w:val="00B25035"/>
    <w:rsid w:val="00B26605"/>
    <w:rsid w:val="00B2678A"/>
    <w:rsid w:val="00B27482"/>
    <w:rsid w:val="00B2773E"/>
    <w:rsid w:val="00B2779D"/>
    <w:rsid w:val="00B279FC"/>
    <w:rsid w:val="00B311A6"/>
    <w:rsid w:val="00B31896"/>
    <w:rsid w:val="00B31A9D"/>
    <w:rsid w:val="00B31CB0"/>
    <w:rsid w:val="00B3205F"/>
    <w:rsid w:val="00B3285B"/>
    <w:rsid w:val="00B329D2"/>
    <w:rsid w:val="00B33050"/>
    <w:rsid w:val="00B33111"/>
    <w:rsid w:val="00B34FD4"/>
    <w:rsid w:val="00B35398"/>
    <w:rsid w:val="00B35B52"/>
    <w:rsid w:val="00B36799"/>
    <w:rsid w:val="00B36F5A"/>
    <w:rsid w:val="00B41D32"/>
    <w:rsid w:val="00B42EDB"/>
    <w:rsid w:val="00B43A8D"/>
    <w:rsid w:val="00B43CC6"/>
    <w:rsid w:val="00B44403"/>
    <w:rsid w:val="00B449D6"/>
    <w:rsid w:val="00B458FE"/>
    <w:rsid w:val="00B45C73"/>
    <w:rsid w:val="00B45E0D"/>
    <w:rsid w:val="00B475D5"/>
    <w:rsid w:val="00B50B92"/>
    <w:rsid w:val="00B51605"/>
    <w:rsid w:val="00B51E7E"/>
    <w:rsid w:val="00B5420C"/>
    <w:rsid w:val="00B542AE"/>
    <w:rsid w:val="00B545FA"/>
    <w:rsid w:val="00B56160"/>
    <w:rsid w:val="00B56577"/>
    <w:rsid w:val="00B574EE"/>
    <w:rsid w:val="00B5779E"/>
    <w:rsid w:val="00B57915"/>
    <w:rsid w:val="00B57944"/>
    <w:rsid w:val="00B57E36"/>
    <w:rsid w:val="00B603BD"/>
    <w:rsid w:val="00B60AA2"/>
    <w:rsid w:val="00B6226E"/>
    <w:rsid w:val="00B624D8"/>
    <w:rsid w:val="00B6377A"/>
    <w:rsid w:val="00B63BEF"/>
    <w:rsid w:val="00B64834"/>
    <w:rsid w:val="00B666C3"/>
    <w:rsid w:val="00B66836"/>
    <w:rsid w:val="00B668ED"/>
    <w:rsid w:val="00B66E9E"/>
    <w:rsid w:val="00B6705E"/>
    <w:rsid w:val="00B67374"/>
    <w:rsid w:val="00B67668"/>
    <w:rsid w:val="00B70E91"/>
    <w:rsid w:val="00B7113D"/>
    <w:rsid w:val="00B71D73"/>
    <w:rsid w:val="00B72AA1"/>
    <w:rsid w:val="00B72AB3"/>
    <w:rsid w:val="00B72E99"/>
    <w:rsid w:val="00B732C7"/>
    <w:rsid w:val="00B734CD"/>
    <w:rsid w:val="00B73F84"/>
    <w:rsid w:val="00B755C1"/>
    <w:rsid w:val="00B77862"/>
    <w:rsid w:val="00B8000B"/>
    <w:rsid w:val="00B81418"/>
    <w:rsid w:val="00B82470"/>
    <w:rsid w:val="00B8288D"/>
    <w:rsid w:val="00B83675"/>
    <w:rsid w:val="00B83878"/>
    <w:rsid w:val="00B83C3C"/>
    <w:rsid w:val="00B85412"/>
    <w:rsid w:val="00B86663"/>
    <w:rsid w:val="00B90E83"/>
    <w:rsid w:val="00B90F44"/>
    <w:rsid w:val="00B9180E"/>
    <w:rsid w:val="00B9188C"/>
    <w:rsid w:val="00B91908"/>
    <w:rsid w:val="00B91B48"/>
    <w:rsid w:val="00B936AB"/>
    <w:rsid w:val="00B93D0B"/>
    <w:rsid w:val="00B9617C"/>
    <w:rsid w:val="00B96A9D"/>
    <w:rsid w:val="00B97B41"/>
    <w:rsid w:val="00BA081A"/>
    <w:rsid w:val="00BA1C53"/>
    <w:rsid w:val="00BA2ABF"/>
    <w:rsid w:val="00BA3310"/>
    <w:rsid w:val="00BA3894"/>
    <w:rsid w:val="00BA45DA"/>
    <w:rsid w:val="00BA61F6"/>
    <w:rsid w:val="00BB0A94"/>
    <w:rsid w:val="00BB0E24"/>
    <w:rsid w:val="00BB1438"/>
    <w:rsid w:val="00BB1648"/>
    <w:rsid w:val="00BB2327"/>
    <w:rsid w:val="00BB263C"/>
    <w:rsid w:val="00BB2968"/>
    <w:rsid w:val="00BB2D3F"/>
    <w:rsid w:val="00BB5A09"/>
    <w:rsid w:val="00BB5A74"/>
    <w:rsid w:val="00BB67F3"/>
    <w:rsid w:val="00BC09AE"/>
    <w:rsid w:val="00BC1C0B"/>
    <w:rsid w:val="00BC407B"/>
    <w:rsid w:val="00BC4391"/>
    <w:rsid w:val="00BC6213"/>
    <w:rsid w:val="00BC6DEA"/>
    <w:rsid w:val="00BD0222"/>
    <w:rsid w:val="00BD0879"/>
    <w:rsid w:val="00BD0A79"/>
    <w:rsid w:val="00BD0DB1"/>
    <w:rsid w:val="00BD0EC3"/>
    <w:rsid w:val="00BD2711"/>
    <w:rsid w:val="00BD2A55"/>
    <w:rsid w:val="00BD2F01"/>
    <w:rsid w:val="00BD3308"/>
    <w:rsid w:val="00BD335F"/>
    <w:rsid w:val="00BD3859"/>
    <w:rsid w:val="00BD393B"/>
    <w:rsid w:val="00BD3D2C"/>
    <w:rsid w:val="00BD3E0F"/>
    <w:rsid w:val="00BD4D78"/>
    <w:rsid w:val="00BD4F6F"/>
    <w:rsid w:val="00BD53DC"/>
    <w:rsid w:val="00BD61EF"/>
    <w:rsid w:val="00BD62B7"/>
    <w:rsid w:val="00BD658E"/>
    <w:rsid w:val="00BD65BE"/>
    <w:rsid w:val="00BE12DC"/>
    <w:rsid w:val="00BE15B3"/>
    <w:rsid w:val="00BE1E5E"/>
    <w:rsid w:val="00BE2C43"/>
    <w:rsid w:val="00BE5069"/>
    <w:rsid w:val="00BE5399"/>
    <w:rsid w:val="00BE554E"/>
    <w:rsid w:val="00BE5992"/>
    <w:rsid w:val="00BE5CFD"/>
    <w:rsid w:val="00BE5FBD"/>
    <w:rsid w:val="00BE6C37"/>
    <w:rsid w:val="00BE70BF"/>
    <w:rsid w:val="00BE7117"/>
    <w:rsid w:val="00BF031D"/>
    <w:rsid w:val="00BF1117"/>
    <w:rsid w:val="00BF12B3"/>
    <w:rsid w:val="00BF136A"/>
    <w:rsid w:val="00BF14A4"/>
    <w:rsid w:val="00BF1A83"/>
    <w:rsid w:val="00BF21A2"/>
    <w:rsid w:val="00BF22A7"/>
    <w:rsid w:val="00BF3126"/>
    <w:rsid w:val="00BF3583"/>
    <w:rsid w:val="00BF4806"/>
    <w:rsid w:val="00BF505F"/>
    <w:rsid w:val="00BF577E"/>
    <w:rsid w:val="00BF6561"/>
    <w:rsid w:val="00BF68DD"/>
    <w:rsid w:val="00BF6CA6"/>
    <w:rsid w:val="00BF6D7C"/>
    <w:rsid w:val="00BF72AC"/>
    <w:rsid w:val="00BF73CE"/>
    <w:rsid w:val="00BF7DF4"/>
    <w:rsid w:val="00BF7DF6"/>
    <w:rsid w:val="00C001B2"/>
    <w:rsid w:val="00C003B5"/>
    <w:rsid w:val="00C01260"/>
    <w:rsid w:val="00C02573"/>
    <w:rsid w:val="00C0347E"/>
    <w:rsid w:val="00C0389C"/>
    <w:rsid w:val="00C038EA"/>
    <w:rsid w:val="00C03C01"/>
    <w:rsid w:val="00C042AE"/>
    <w:rsid w:val="00C0466C"/>
    <w:rsid w:val="00C04C4D"/>
    <w:rsid w:val="00C04C69"/>
    <w:rsid w:val="00C0660C"/>
    <w:rsid w:val="00C11892"/>
    <w:rsid w:val="00C12591"/>
    <w:rsid w:val="00C12A2D"/>
    <w:rsid w:val="00C1307A"/>
    <w:rsid w:val="00C1383E"/>
    <w:rsid w:val="00C1412C"/>
    <w:rsid w:val="00C14DE9"/>
    <w:rsid w:val="00C151A2"/>
    <w:rsid w:val="00C15703"/>
    <w:rsid w:val="00C166FF"/>
    <w:rsid w:val="00C16C45"/>
    <w:rsid w:val="00C16D18"/>
    <w:rsid w:val="00C178E3"/>
    <w:rsid w:val="00C2027F"/>
    <w:rsid w:val="00C2052C"/>
    <w:rsid w:val="00C21633"/>
    <w:rsid w:val="00C2220D"/>
    <w:rsid w:val="00C22E7C"/>
    <w:rsid w:val="00C23A18"/>
    <w:rsid w:val="00C23B51"/>
    <w:rsid w:val="00C23C0D"/>
    <w:rsid w:val="00C256D1"/>
    <w:rsid w:val="00C26018"/>
    <w:rsid w:val="00C2606D"/>
    <w:rsid w:val="00C26E2B"/>
    <w:rsid w:val="00C30138"/>
    <w:rsid w:val="00C3063F"/>
    <w:rsid w:val="00C31169"/>
    <w:rsid w:val="00C31472"/>
    <w:rsid w:val="00C318F7"/>
    <w:rsid w:val="00C31C22"/>
    <w:rsid w:val="00C31E4A"/>
    <w:rsid w:val="00C31EE4"/>
    <w:rsid w:val="00C32654"/>
    <w:rsid w:val="00C32818"/>
    <w:rsid w:val="00C328BD"/>
    <w:rsid w:val="00C32D76"/>
    <w:rsid w:val="00C33481"/>
    <w:rsid w:val="00C339B0"/>
    <w:rsid w:val="00C34104"/>
    <w:rsid w:val="00C346E2"/>
    <w:rsid w:val="00C34A24"/>
    <w:rsid w:val="00C353BF"/>
    <w:rsid w:val="00C35425"/>
    <w:rsid w:val="00C35DF8"/>
    <w:rsid w:val="00C3630D"/>
    <w:rsid w:val="00C3680D"/>
    <w:rsid w:val="00C36A7C"/>
    <w:rsid w:val="00C3732D"/>
    <w:rsid w:val="00C376D2"/>
    <w:rsid w:val="00C37A94"/>
    <w:rsid w:val="00C40197"/>
    <w:rsid w:val="00C419B1"/>
    <w:rsid w:val="00C42230"/>
    <w:rsid w:val="00C42582"/>
    <w:rsid w:val="00C43B8E"/>
    <w:rsid w:val="00C43BFD"/>
    <w:rsid w:val="00C443D2"/>
    <w:rsid w:val="00C4572A"/>
    <w:rsid w:val="00C45908"/>
    <w:rsid w:val="00C45A0A"/>
    <w:rsid w:val="00C45A9D"/>
    <w:rsid w:val="00C45BBB"/>
    <w:rsid w:val="00C46536"/>
    <w:rsid w:val="00C470F4"/>
    <w:rsid w:val="00C4777E"/>
    <w:rsid w:val="00C510F2"/>
    <w:rsid w:val="00C522DE"/>
    <w:rsid w:val="00C523AF"/>
    <w:rsid w:val="00C5272D"/>
    <w:rsid w:val="00C529F4"/>
    <w:rsid w:val="00C52DAE"/>
    <w:rsid w:val="00C532AE"/>
    <w:rsid w:val="00C53A03"/>
    <w:rsid w:val="00C53F39"/>
    <w:rsid w:val="00C5429E"/>
    <w:rsid w:val="00C54580"/>
    <w:rsid w:val="00C5478E"/>
    <w:rsid w:val="00C54DE3"/>
    <w:rsid w:val="00C55AD1"/>
    <w:rsid w:val="00C56E36"/>
    <w:rsid w:val="00C57458"/>
    <w:rsid w:val="00C6125D"/>
    <w:rsid w:val="00C61661"/>
    <w:rsid w:val="00C62443"/>
    <w:rsid w:val="00C64EA3"/>
    <w:rsid w:val="00C6548B"/>
    <w:rsid w:val="00C66828"/>
    <w:rsid w:val="00C66A1C"/>
    <w:rsid w:val="00C70148"/>
    <w:rsid w:val="00C70274"/>
    <w:rsid w:val="00C702F3"/>
    <w:rsid w:val="00C70472"/>
    <w:rsid w:val="00C71832"/>
    <w:rsid w:val="00C729A1"/>
    <w:rsid w:val="00C729E4"/>
    <w:rsid w:val="00C7325E"/>
    <w:rsid w:val="00C73271"/>
    <w:rsid w:val="00C746FF"/>
    <w:rsid w:val="00C75486"/>
    <w:rsid w:val="00C75E96"/>
    <w:rsid w:val="00C7612E"/>
    <w:rsid w:val="00C766BE"/>
    <w:rsid w:val="00C8210D"/>
    <w:rsid w:val="00C82BF3"/>
    <w:rsid w:val="00C82FC0"/>
    <w:rsid w:val="00C841BD"/>
    <w:rsid w:val="00C84A1C"/>
    <w:rsid w:val="00C853B7"/>
    <w:rsid w:val="00C8614E"/>
    <w:rsid w:val="00C87F74"/>
    <w:rsid w:val="00C90745"/>
    <w:rsid w:val="00C9122E"/>
    <w:rsid w:val="00C928F0"/>
    <w:rsid w:val="00C93638"/>
    <w:rsid w:val="00C93F6A"/>
    <w:rsid w:val="00C9492B"/>
    <w:rsid w:val="00C95AD6"/>
    <w:rsid w:val="00C95BD8"/>
    <w:rsid w:val="00C95CAE"/>
    <w:rsid w:val="00C96081"/>
    <w:rsid w:val="00C972F3"/>
    <w:rsid w:val="00C97578"/>
    <w:rsid w:val="00C97961"/>
    <w:rsid w:val="00CA02BC"/>
    <w:rsid w:val="00CA03F5"/>
    <w:rsid w:val="00CA1099"/>
    <w:rsid w:val="00CA148D"/>
    <w:rsid w:val="00CA1493"/>
    <w:rsid w:val="00CA1679"/>
    <w:rsid w:val="00CA2082"/>
    <w:rsid w:val="00CA3378"/>
    <w:rsid w:val="00CA4D07"/>
    <w:rsid w:val="00CA5744"/>
    <w:rsid w:val="00CA5AE5"/>
    <w:rsid w:val="00CA67D5"/>
    <w:rsid w:val="00CA7FAF"/>
    <w:rsid w:val="00CB0C32"/>
    <w:rsid w:val="00CB22DF"/>
    <w:rsid w:val="00CB36CA"/>
    <w:rsid w:val="00CB4178"/>
    <w:rsid w:val="00CB49E7"/>
    <w:rsid w:val="00CB4BC1"/>
    <w:rsid w:val="00CB5834"/>
    <w:rsid w:val="00CB5978"/>
    <w:rsid w:val="00CB6CF9"/>
    <w:rsid w:val="00CB6E98"/>
    <w:rsid w:val="00CB6F08"/>
    <w:rsid w:val="00CC063E"/>
    <w:rsid w:val="00CC1713"/>
    <w:rsid w:val="00CC1E2E"/>
    <w:rsid w:val="00CC21A8"/>
    <w:rsid w:val="00CC2422"/>
    <w:rsid w:val="00CC2D89"/>
    <w:rsid w:val="00CC3923"/>
    <w:rsid w:val="00CC4697"/>
    <w:rsid w:val="00CC4AB4"/>
    <w:rsid w:val="00CC4BBF"/>
    <w:rsid w:val="00CC4DD8"/>
    <w:rsid w:val="00CC6421"/>
    <w:rsid w:val="00CD15CB"/>
    <w:rsid w:val="00CD1EA3"/>
    <w:rsid w:val="00CD25AF"/>
    <w:rsid w:val="00CD2C22"/>
    <w:rsid w:val="00CD32D6"/>
    <w:rsid w:val="00CD4D08"/>
    <w:rsid w:val="00CD6B86"/>
    <w:rsid w:val="00CD7613"/>
    <w:rsid w:val="00CE05C6"/>
    <w:rsid w:val="00CE1ADE"/>
    <w:rsid w:val="00CE1F09"/>
    <w:rsid w:val="00CE2A2C"/>
    <w:rsid w:val="00CE3118"/>
    <w:rsid w:val="00CE31FA"/>
    <w:rsid w:val="00CE361B"/>
    <w:rsid w:val="00CE48BA"/>
    <w:rsid w:val="00CE4946"/>
    <w:rsid w:val="00CE535C"/>
    <w:rsid w:val="00CE55C6"/>
    <w:rsid w:val="00CE5BED"/>
    <w:rsid w:val="00CE64E6"/>
    <w:rsid w:val="00CE6B72"/>
    <w:rsid w:val="00CE6D2B"/>
    <w:rsid w:val="00CE6E5D"/>
    <w:rsid w:val="00CE71AA"/>
    <w:rsid w:val="00CE77A9"/>
    <w:rsid w:val="00CF01A0"/>
    <w:rsid w:val="00CF05E1"/>
    <w:rsid w:val="00CF06FC"/>
    <w:rsid w:val="00CF08F7"/>
    <w:rsid w:val="00CF149A"/>
    <w:rsid w:val="00CF26A2"/>
    <w:rsid w:val="00CF2A85"/>
    <w:rsid w:val="00CF4833"/>
    <w:rsid w:val="00CF4992"/>
    <w:rsid w:val="00CF54D7"/>
    <w:rsid w:val="00D00E40"/>
    <w:rsid w:val="00D01286"/>
    <w:rsid w:val="00D01E16"/>
    <w:rsid w:val="00D0236D"/>
    <w:rsid w:val="00D0280B"/>
    <w:rsid w:val="00D0307B"/>
    <w:rsid w:val="00D0367F"/>
    <w:rsid w:val="00D04445"/>
    <w:rsid w:val="00D04F75"/>
    <w:rsid w:val="00D05850"/>
    <w:rsid w:val="00D06725"/>
    <w:rsid w:val="00D0710A"/>
    <w:rsid w:val="00D0718E"/>
    <w:rsid w:val="00D106DE"/>
    <w:rsid w:val="00D129B8"/>
    <w:rsid w:val="00D13BB2"/>
    <w:rsid w:val="00D13BEA"/>
    <w:rsid w:val="00D1561C"/>
    <w:rsid w:val="00D15A4F"/>
    <w:rsid w:val="00D15D79"/>
    <w:rsid w:val="00D16444"/>
    <w:rsid w:val="00D16CCD"/>
    <w:rsid w:val="00D1797F"/>
    <w:rsid w:val="00D2016F"/>
    <w:rsid w:val="00D20B00"/>
    <w:rsid w:val="00D21050"/>
    <w:rsid w:val="00D22DF3"/>
    <w:rsid w:val="00D23C71"/>
    <w:rsid w:val="00D23E6F"/>
    <w:rsid w:val="00D244A2"/>
    <w:rsid w:val="00D24903"/>
    <w:rsid w:val="00D24E24"/>
    <w:rsid w:val="00D254FB"/>
    <w:rsid w:val="00D26254"/>
    <w:rsid w:val="00D266E6"/>
    <w:rsid w:val="00D2703B"/>
    <w:rsid w:val="00D27933"/>
    <w:rsid w:val="00D309FE"/>
    <w:rsid w:val="00D30E88"/>
    <w:rsid w:val="00D315DA"/>
    <w:rsid w:val="00D32956"/>
    <w:rsid w:val="00D32CF5"/>
    <w:rsid w:val="00D33C01"/>
    <w:rsid w:val="00D33C91"/>
    <w:rsid w:val="00D34B95"/>
    <w:rsid w:val="00D351CD"/>
    <w:rsid w:val="00D37535"/>
    <w:rsid w:val="00D37C04"/>
    <w:rsid w:val="00D37EB0"/>
    <w:rsid w:val="00D405EB"/>
    <w:rsid w:val="00D405ED"/>
    <w:rsid w:val="00D415DC"/>
    <w:rsid w:val="00D416C7"/>
    <w:rsid w:val="00D42B61"/>
    <w:rsid w:val="00D42C8E"/>
    <w:rsid w:val="00D44A3F"/>
    <w:rsid w:val="00D44B2D"/>
    <w:rsid w:val="00D4515E"/>
    <w:rsid w:val="00D45408"/>
    <w:rsid w:val="00D4554D"/>
    <w:rsid w:val="00D457D8"/>
    <w:rsid w:val="00D45A44"/>
    <w:rsid w:val="00D45CDD"/>
    <w:rsid w:val="00D46547"/>
    <w:rsid w:val="00D46E89"/>
    <w:rsid w:val="00D474D1"/>
    <w:rsid w:val="00D47BBE"/>
    <w:rsid w:val="00D52006"/>
    <w:rsid w:val="00D52225"/>
    <w:rsid w:val="00D528E9"/>
    <w:rsid w:val="00D53F47"/>
    <w:rsid w:val="00D545B1"/>
    <w:rsid w:val="00D5522E"/>
    <w:rsid w:val="00D552B0"/>
    <w:rsid w:val="00D554D9"/>
    <w:rsid w:val="00D56154"/>
    <w:rsid w:val="00D57344"/>
    <w:rsid w:val="00D608ED"/>
    <w:rsid w:val="00D60A4B"/>
    <w:rsid w:val="00D610B1"/>
    <w:rsid w:val="00D6295A"/>
    <w:rsid w:val="00D6429C"/>
    <w:rsid w:val="00D64E62"/>
    <w:rsid w:val="00D664BE"/>
    <w:rsid w:val="00D6788E"/>
    <w:rsid w:val="00D71ABE"/>
    <w:rsid w:val="00D720AC"/>
    <w:rsid w:val="00D7327A"/>
    <w:rsid w:val="00D7390A"/>
    <w:rsid w:val="00D73ECF"/>
    <w:rsid w:val="00D7442C"/>
    <w:rsid w:val="00D749B3"/>
    <w:rsid w:val="00D75255"/>
    <w:rsid w:val="00D7572F"/>
    <w:rsid w:val="00D7697B"/>
    <w:rsid w:val="00D76BF5"/>
    <w:rsid w:val="00D76E90"/>
    <w:rsid w:val="00D77C26"/>
    <w:rsid w:val="00D77C8E"/>
    <w:rsid w:val="00D77E73"/>
    <w:rsid w:val="00D818E0"/>
    <w:rsid w:val="00D82E9D"/>
    <w:rsid w:val="00D83BB1"/>
    <w:rsid w:val="00D84F68"/>
    <w:rsid w:val="00D84FCE"/>
    <w:rsid w:val="00D85319"/>
    <w:rsid w:val="00D866C7"/>
    <w:rsid w:val="00D86D5B"/>
    <w:rsid w:val="00D86DBF"/>
    <w:rsid w:val="00D87D62"/>
    <w:rsid w:val="00D903AB"/>
    <w:rsid w:val="00D90B9B"/>
    <w:rsid w:val="00D931C0"/>
    <w:rsid w:val="00D9373C"/>
    <w:rsid w:val="00D93DB5"/>
    <w:rsid w:val="00D946DB"/>
    <w:rsid w:val="00D95C64"/>
    <w:rsid w:val="00D96E3E"/>
    <w:rsid w:val="00DA1069"/>
    <w:rsid w:val="00DA13F2"/>
    <w:rsid w:val="00DA31A9"/>
    <w:rsid w:val="00DA373F"/>
    <w:rsid w:val="00DA3F04"/>
    <w:rsid w:val="00DA47FB"/>
    <w:rsid w:val="00DA4AEE"/>
    <w:rsid w:val="00DA5E34"/>
    <w:rsid w:val="00DA6039"/>
    <w:rsid w:val="00DA6510"/>
    <w:rsid w:val="00DA67A2"/>
    <w:rsid w:val="00DA7299"/>
    <w:rsid w:val="00DA7AED"/>
    <w:rsid w:val="00DA7D23"/>
    <w:rsid w:val="00DB0211"/>
    <w:rsid w:val="00DB3081"/>
    <w:rsid w:val="00DB3B32"/>
    <w:rsid w:val="00DB40FD"/>
    <w:rsid w:val="00DB434E"/>
    <w:rsid w:val="00DB4FFA"/>
    <w:rsid w:val="00DB5A87"/>
    <w:rsid w:val="00DB7399"/>
    <w:rsid w:val="00DC0038"/>
    <w:rsid w:val="00DC0795"/>
    <w:rsid w:val="00DC0D5E"/>
    <w:rsid w:val="00DC108F"/>
    <w:rsid w:val="00DC2198"/>
    <w:rsid w:val="00DC283D"/>
    <w:rsid w:val="00DC293A"/>
    <w:rsid w:val="00DC3E3B"/>
    <w:rsid w:val="00DC415A"/>
    <w:rsid w:val="00DC440F"/>
    <w:rsid w:val="00DC52C9"/>
    <w:rsid w:val="00DC5D95"/>
    <w:rsid w:val="00DC6044"/>
    <w:rsid w:val="00DD02EB"/>
    <w:rsid w:val="00DD1128"/>
    <w:rsid w:val="00DD1189"/>
    <w:rsid w:val="00DD158B"/>
    <w:rsid w:val="00DD18ED"/>
    <w:rsid w:val="00DD3100"/>
    <w:rsid w:val="00DD3876"/>
    <w:rsid w:val="00DD4374"/>
    <w:rsid w:val="00DD513D"/>
    <w:rsid w:val="00DD529C"/>
    <w:rsid w:val="00DD673A"/>
    <w:rsid w:val="00DD7160"/>
    <w:rsid w:val="00DE067E"/>
    <w:rsid w:val="00DE07AE"/>
    <w:rsid w:val="00DE1735"/>
    <w:rsid w:val="00DE2491"/>
    <w:rsid w:val="00DE289C"/>
    <w:rsid w:val="00DE2DFE"/>
    <w:rsid w:val="00DE3DBD"/>
    <w:rsid w:val="00DE422B"/>
    <w:rsid w:val="00DE53CC"/>
    <w:rsid w:val="00DE55E5"/>
    <w:rsid w:val="00DE5A35"/>
    <w:rsid w:val="00DE5A45"/>
    <w:rsid w:val="00DE6169"/>
    <w:rsid w:val="00DE6915"/>
    <w:rsid w:val="00DF0904"/>
    <w:rsid w:val="00DF0C29"/>
    <w:rsid w:val="00DF14B0"/>
    <w:rsid w:val="00DF253D"/>
    <w:rsid w:val="00DF254C"/>
    <w:rsid w:val="00DF2AB7"/>
    <w:rsid w:val="00DF2AC5"/>
    <w:rsid w:val="00DF2C4F"/>
    <w:rsid w:val="00DF3437"/>
    <w:rsid w:val="00DF41E3"/>
    <w:rsid w:val="00DF46DD"/>
    <w:rsid w:val="00DF7629"/>
    <w:rsid w:val="00DF7AFB"/>
    <w:rsid w:val="00E00E4F"/>
    <w:rsid w:val="00E02910"/>
    <w:rsid w:val="00E0320A"/>
    <w:rsid w:val="00E03A9F"/>
    <w:rsid w:val="00E04314"/>
    <w:rsid w:val="00E05EEA"/>
    <w:rsid w:val="00E066F5"/>
    <w:rsid w:val="00E070CD"/>
    <w:rsid w:val="00E110F6"/>
    <w:rsid w:val="00E14281"/>
    <w:rsid w:val="00E145E9"/>
    <w:rsid w:val="00E1498E"/>
    <w:rsid w:val="00E15306"/>
    <w:rsid w:val="00E1590F"/>
    <w:rsid w:val="00E16087"/>
    <w:rsid w:val="00E16E21"/>
    <w:rsid w:val="00E17115"/>
    <w:rsid w:val="00E179DE"/>
    <w:rsid w:val="00E215A4"/>
    <w:rsid w:val="00E218D7"/>
    <w:rsid w:val="00E219EA"/>
    <w:rsid w:val="00E22950"/>
    <w:rsid w:val="00E22E1C"/>
    <w:rsid w:val="00E23837"/>
    <w:rsid w:val="00E23BF4"/>
    <w:rsid w:val="00E24576"/>
    <w:rsid w:val="00E2478E"/>
    <w:rsid w:val="00E2492C"/>
    <w:rsid w:val="00E24B38"/>
    <w:rsid w:val="00E25501"/>
    <w:rsid w:val="00E25690"/>
    <w:rsid w:val="00E25EB6"/>
    <w:rsid w:val="00E262E2"/>
    <w:rsid w:val="00E27055"/>
    <w:rsid w:val="00E301E0"/>
    <w:rsid w:val="00E302CD"/>
    <w:rsid w:val="00E309BE"/>
    <w:rsid w:val="00E3159B"/>
    <w:rsid w:val="00E31D1C"/>
    <w:rsid w:val="00E3270D"/>
    <w:rsid w:val="00E340FE"/>
    <w:rsid w:val="00E3410D"/>
    <w:rsid w:val="00E34458"/>
    <w:rsid w:val="00E34740"/>
    <w:rsid w:val="00E34746"/>
    <w:rsid w:val="00E34975"/>
    <w:rsid w:val="00E34ABA"/>
    <w:rsid w:val="00E35C6C"/>
    <w:rsid w:val="00E35CF1"/>
    <w:rsid w:val="00E36196"/>
    <w:rsid w:val="00E372B9"/>
    <w:rsid w:val="00E37EF3"/>
    <w:rsid w:val="00E4093D"/>
    <w:rsid w:val="00E40BE4"/>
    <w:rsid w:val="00E40C75"/>
    <w:rsid w:val="00E417F0"/>
    <w:rsid w:val="00E425D4"/>
    <w:rsid w:val="00E4333A"/>
    <w:rsid w:val="00E439DC"/>
    <w:rsid w:val="00E43EB0"/>
    <w:rsid w:val="00E4440E"/>
    <w:rsid w:val="00E4483E"/>
    <w:rsid w:val="00E45262"/>
    <w:rsid w:val="00E465E3"/>
    <w:rsid w:val="00E5040C"/>
    <w:rsid w:val="00E506F3"/>
    <w:rsid w:val="00E516F3"/>
    <w:rsid w:val="00E534C6"/>
    <w:rsid w:val="00E538B7"/>
    <w:rsid w:val="00E539B8"/>
    <w:rsid w:val="00E53CB3"/>
    <w:rsid w:val="00E54D15"/>
    <w:rsid w:val="00E55C08"/>
    <w:rsid w:val="00E56B9E"/>
    <w:rsid w:val="00E60651"/>
    <w:rsid w:val="00E60E90"/>
    <w:rsid w:val="00E60F10"/>
    <w:rsid w:val="00E61016"/>
    <w:rsid w:val="00E62357"/>
    <w:rsid w:val="00E62E04"/>
    <w:rsid w:val="00E64CDD"/>
    <w:rsid w:val="00E651ED"/>
    <w:rsid w:val="00E654A3"/>
    <w:rsid w:val="00E65AF5"/>
    <w:rsid w:val="00E65EE5"/>
    <w:rsid w:val="00E66D50"/>
    <w:rsid w:val="00E675F9"/>
    <w:rsid w:val="00E679DD"/>
    <w:rsid w:val="00E7032B"/>
    <w:rsid w:val="00E720B9"/>
    <w:rsid w:val="00E73407"/>
    <w:rsid w:val="00E73502"/>
    <w:rsid w:val="00E7452D"/>
    <w:rsid w:val="00E76EFD"/>
    <w:rsid w:val="00E77033"/>
    <w:rsid w:val="00E8084B"/>
    <w:rsid w:val="00E81726"/>
    <w:rsid w:val="00E81E49"/>
    <w:rsid w:val="00E83697"/>
    <w:rsid w:val="00E83823"/>
    <w:rsid w:val="00E8400D"/>
    <w:rsid w:val="00E85026"/>
    <w:rsid w:val="00E859F8"/>
    <w:rsid w:val="00E85B34"/>
    <w:rsid w:val="00E85EBB"/>
    <w:rsid w:val="00E8688A"/>
    <w:rsid w:val="00E90417"/>
    <w:rsid w:val="00E90B2B"/>
    <w:rsid w:val="00E90BC4"/>
    <w:rsid w:val="00E910F3"/>
    <w:rsid w:val="00E9161E"/>
    <w:rsid w:val="00E92C38"/>
    <w:rsid w:val="00E96309"/>
    <w:rsid w:val="00E97509"/>
    <w:rsid w:val="00E976E9"/>
    <w:rsid w:val="00EA031F"/>
    <w:rsid w:val="00EA0E71"/>
    <w:rsid w:val="00EA19DD"/>
    <w:rsid w:val="00EA1D20"/>
    <w:rsid w:val="00EA1D2B"/>
    <w:rsid w:val="00EA1D44"/>
    <w:rsid w:val="00EA24F9"/>
    <w:rsid w:val="00EA394A"/>
    <w:rsid w:val="00EA42D9"/>
    <w:rsid w:val="00EA43A3"/>
    <w:rsid w:val="00EA4566"/>
    <w:rsid w:val="00EA4813"/>
    <w:rsid w:val="00EA5082"/>
    <w:rsid w:val="00EA5E8D"/>
    <w:rsid w:val="00EA7941"/>
    <w:rsid w:val="00EB0019"/>
    <w:rsid w:val="00EB0654"/>
    <w:rsid w:val="00EB1060"/>
    <w:rsid w:val="00EB11D2"/>
    <w:rsid w:val="00EB12CE"/>
    <w:rsid w:val="00EB2061"/>
    <w:rsid w:val="00EB28AB"/>
    <w:rsid w:val="00EB2A97"/>
    <w:rsid w:val="00EB4E78"/>
    <w:rsid w:val="00EB5783"/>
    <w:rsid w:val="00EB5957"/>
    <w:rsid w:val="00EB6068"/>
    <w:rsid w:val="00EB6381"/>
    <w:rsid w:val="00EB6937"/>
    <w:rsid w:val="00EB70B5"/>
    <w:rsid w:val="00EB7742"/>
    <w:rsid w:val="00EC0AAD"/>
    <w:rsid w:val="00EC208D"/>
    <w:rsid w:val="00EC2C2D"/>
    <w:rsid w:val="00EC2C82"/>
    <w:rsid w:val="00EC432C"/>
    <w:rsid w:val="00EC6DC6"/>
    <w:rsid w:val="00EC7361"/>
    <w:rsid w:val="00EC7A81"/>
    <w:rsid w:val="00ED0180"/>
    <w:rsid w:val="00ED0A49"/>
    <w:rsid w:val="00ED16DC"/>
    <w:rsid w:val="00ED1F96"/>
    <w:rsid w:val="00ED2003"/>
    <w:rsid w:val="00ED5AB7"/>
    <w:rsid w:val="00ED6594"/>
    <w:rsid w:val="00ED72B8"/>
    <w:rsid w:val="00ED7C43"/>
    <w:rsid w:val="00EE077A"/>
    <w:rsid w:val="00EE115B"/>
    <w:rsid w:val="00EE231F"/>
    <w:rsid w:val="00EE23C3"/>
    <w:rsid w:val="00EE2F95"/>
    <w:rsid w:val="00EE3462"/>
    <w:rsid w:val="00EE56A6"/>
    <w:rsid w:val="00EE5831"/>
    <w:rsid w:val="00EE5A03"/>
    <w:rsid w:val="00EE7201"/>
    <w:rsid w:val="00EE7215"/>
    <w:rsid w:val="00EE752A"/>
    <w:rsid w:val="00EE782C"/>
    <w:rsid w:val="00EF02CD"/>
    <w:rsid w:val="00EF1A6E"/>
    <w:rsid w:val="00EF1A73"/>
    <w:rsid w:val="00EF1F45"/>
    <w:rsid w:val="00EF2869"/>
    <w:rsid w:val="00EF3AD5"/>
    <w:rsid w:val="00EF4562"/>
    <w:rsid w:val="00EF469F"/>
    <w:rsid w:val="00EF49B3"/>
    <w:rsid w:val="00EF4F41"/>
    <w:rsid w:val="00EF5F2D"/>
    <w:rsid w:val="00EF6481"/>
    <w:rsid w:val="00EF6DD6"/>
    <w:rsid w:val="00EF7A3C"/>
    <w:rsid w:val="00F00F06"/>
    <w:rsid w:val="00F0154D"/>
    <w:rsid w:val="00F0249F"/>
    <w:rsid w:val="00F02BE9"/>
    <w:rsid w:val="00F02C25"/>
    <w:rsid w:val="00F04C5E"/>
    <w:rsid w:val="00F04F1D"/>
    <w:rsid w:val="00F0607E"/>
    <w:rsid w:val="00F06A24"/>
    <w:rsid w:val="00F06AAD"/>
    <w:rsid w:val="00F06F88"/>
    <w:rsid w:val="00F115A9"/>
    <w:rsid w:val="00F11B12"/>
    <w:rsid w:val="00F11C22"/>
    <w:rsid w:val="00F12FE1"/>
    <w:rsid w:val="00F13345"/>
    <w:rsid w:val="00F15596"/>
    <w:rsid w:val="00F15DAC"/>
    <w:rsid w:val="00F16583"/>
    <w:rsid w:val="00F176DA"/>
    <w:rsid w:val="00F20C69"/>
    <w:rsid w:val="00F20F76"/>
    <w:rsid w:val="00F21648"/>
    <w:rsid w:val="00F21B3A"/>
    <w:rsid w:val="00F22C85"/>
    <w:rsid w:val="00F22F28"/>
    <w:rsid w:val="00F239C5"/>
    <w:rsid w:val="00F23DFC"/>
    <w:rsid w:val="00F250ED"/>
    <w:rsid w:val="00F255B7"/>
    <w:rsid w:val="00F26796"/>
    <w:rsid w:val="00F2706B"/>
    <w:rsid w:val="00F27273"/>
    <w:rsid w:val="00F27AB9"/>
    <w:rsid w:val="00F3098A"/>
    <w:rsid w:val="00F30A69"/>
    <w:rsid w:val="00F30B70"/>
    <w:rsid w:val="00F31298"/>
    <w:rsid w:val="00F3167F"/>
    <w:rsid w:val="00F32209"/>
    <w:rsid w:val="00F3283C"/>
    <w:rsid w:val="00F32BA7"/>
    <w:rsid w:val="00F33D16"/>
    <w:rsid w:val="00F33D9E"/>
    <w:rsid w:val="00F3571B"/>
    <w:rsid w:val="00F361AA"/>
    <w:rsid w:val="00F3668C"/>
    <w:rsid w:val="00F36B0A"/>
    <w:rsid w:val="00F36DAA"/>
    <w:rsid w:val="00F37854"/>
    <w:rsid w:val="00F37865"/>
    <w:rsid w:val="00F37D0F"/>
    <w:rsid w:val="00F4100C"/>
    <w:rsid w:val="00F4345C"/>
    <w:rsid w:val="00F445A4"/>
    <w:rsid w:val="00F4555A"/>
    <w:rsid w:val="00F45B01"/>
    <w:rsid w:val="00F45B51"/>
    <w:rsid w:val="00F45DF4"/>
    <w:rsid w:val="00F47788"/>
    <w:rsid w:val="00F47938"/>
    <w:rsid w:val="00F51E15"/>
    <w:rsid w:val="00F52FBA"/>
    <w:rsid w:val="00F5443A"/>
    <w:rsid w:val="00F54680"/>
    <w:rsid w:val="00F55118"/>
    <w:rsid w:val="00F55D93"/>
    <w:rsid w:val="00F5649A"/>
    <w:rsid w:val="00F60F2B"/>
    <w:rsid w:val="00F6118F"/>
    <w:rsid w:val="00F61A8A"/>
    <w:rsid w:val="00F61DE9"/>
    <w:rsid w:val="00F620E8"/>
    <w:rsid w:val="00F63711"/>
    <w:rsid w:val="00F63C3F"/>
    <w:rsid w:val="00F6436A"/>
    <w:rsid w:val="00F649E5"/>
    <w:rsid w:val="00F650F8"/>
    <w:rsid w:val="00F655E7"/>
    <w:rsid w:val="00F6579B"/>
    <w:rsid w:val="00F65CF5"/>
    <w:rsid w:val="00F66131"/>
    <w:rsid w:val="00F66213"/>
    <w:rsid w:val="00F67D3F"/>
    <w:rsid w:val="00F7060B"/>
    <w:rsid w:val="00F70F4C"/>
    <w:rsid w:val="00F72BD4"/>
    <w:rsid w:val="00F746CA"/>
    <w:rsid w:val="00F74FF9"/>
    <w:rsid w:val="00F755E3"/>
    <w:rsid w:val="00F75EB9"/>
    <w:rsid w:val="00F7669E"/>
    <w:rsid w:val="00F76E3E"/>
    <w:rsid w:val="00F773BD"/>
    <w:rsid w:val="00F806FF"/>
    <w:rsid w:val="00F80CD1"/>
    <w:rsid w:val="00F824D5"/>
    <w:rsid w:val="00F84643"/>
    <w:rsid w:val="00F8486D"/>
    <w:rsid w:val="00F8524C"/>
    <w:rsid w:val="00F85DCE"/>
    <w:rsid w:val="00F860CB"/>
    <w:rsid w:val="00F86380"/>
    <w:rsid w:val="00F872D6"/>
    <w:rsid w:val="00F9009E"/>
    <w:rsid w:val="00F90A1C"/>
    <w:rsid w:val="00F91ECA"/>
    <w:rsid w:val="00F923F0"/>
    <w:rsid w:val="00F923FC"/>
    <w:rsid w:val="00F92E1F"/>
    <w:rsid w:val="00F95202"/>
    <w:rsid w:val="00F96755"/>
    <w:rsid w:val="00F967E5"/>
    <w:rsid w:val="00F97D36"/>
    <w:rsid w:val="00FA0866"/>
    <w:rsid w:val="00FA0BE7"/>
    <w:rsid w:val="00FA11F5"/>
    <w:rsid w:val="00FA3373"/>
    <w:rsid w:val="00FA36F4"/>
    <w:rsid w:val="00FA486B"/>
    <w:rsid w:val="00FA568E"/>
    <w:rsid w:val="00FA5A69"/>
    <w:rsid w:val="00FA655C"/>
    <w:rsid w:val="00FB0D63"/>
    <w:rsid w:val="00FB181A"/>
    <w:rsid w:val="00FB1BCF"/>
    <w:rsid w:val="00FB21AF"/>
    <w:rsid w:val="00FB24C7"/>
    <w:rsid w:val="00FB26A2"/>
    <w:rsid w:val="00FB28BF"/>
    <w:rsid w:val="00FB2D87"/>
    <w:rsid w:val="00FB39A3"/>
    <w:rsid w:val="00FB3A2B"/>
    <w:rsid w:val="00FB3BE5"/>
    <w:rsid w:val="00FB41B0"/>
    <w:rsid w:val="00FB5FFB"/>
    <w:rsid w:val="00FB6151"/>
    <w:rsid w:val="00FB6299"/>
    <w:rsid w:val="00FB6BCE"/>
    <w:rsid w:val="00FB6C2F"/>
    <w:rsid w:val="00FB7B65"/>
    <w:rsid w:val="00FC0562"/>
    <w:rsid w:val="00FC0C89"/>
    <w:rsid w:val="00FC0E87"/>
    <w:rsid w:val="00FC1765"/>
    <w:rsid w:val="00FC22B4"/>
    <w:rsid w:val="00FC3137"/>
    <w:rsid w:val="00FC3138"/>
    <w:rsid w:val="00FC3B4D"/>
    <w:rsid w:val="00FC5F52"/>
    <w:rsid w:val="00FC7897"/>
    <w:rsid w:val="00FD098C"/>
    <w:rsid w:val="00FD0DD2"/>
    <w:rsid w:val="00FD127B"/>
    <w:rsid w:val="00FD2135"/>
    <w:rsid w:val="00FD2E42"/>
    <w:rsid w:val="00FD3EE6"/>
    <w:rsid w:val="00FD56B6"/>
    <w:rsid w:val="00FD6522"/>
    <w:rsid w:val="00FD6D55"/>
    <w:rsid w:val="00FD7460"/>
    <w:rsid w:val="00FD7DA8"/>
    <w:rsid w:val="00FE0D48"/>
    <w:rsid w:val="00FE1388"/>
    <w:rsid w:val="00FE14F7"/>
    <w:rsid w:val="00FE2653"/>
    <w:rsid w:val="00FE349E"/>
    <w:rsid w:val="00FE3970"/>
    <w:rsid w:val="00FE5A68"/>
    <w:rsid w:val="00FE69F8"/>
    <w:rsid w:val="00FE755A"/>
    <w:rsid w:val="00FF1929"/>
    <w:rsid w:val="00FF23C4"/>
    <w:rsid w:val="00FF263C"/>
    <w:rsid w:val="00FF3F66"/>
    <w:rsid w:val="00FF4008"/>
    <w:rsid w:val="00FF4C90"/>
    <w:rsid w:val="00FF4D13"/>
    <w:rsid w:val="00FF4EC2"/>
    <w:rsid w:val="00FF56F3"/>
    <w:rsid w:val="00FF59EF"/>
    <w:rsid w:val="00FF61A4"/>
    <w:rsid w:val="00FF61F5"/>
    <w:rsid w:val="00FF69BA"/>
    <w:rsid w:val="00FF69E6"/>
    <w:rsid w:val="00FF75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06FF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lsdException w:name="List 5" w:semiHidden="1"/>
    <w:lsdException w:name="List Bullet 2" w:semiHidden="1" w:unhideWhenUsed="1" w:qFormat="1"/>
    <w:lsdException w:name="List Bullet 3" w:semiHidden="1" w:unhideWhenUsed="1" w:qFormat="1"/>
    <w:lsdException w:name="List Bullet 4" w:unhideWhenUsed="1" w:qFormat="1"/>
    <w:lsdException w:name="List Bullet 5"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FF757F"/>
    <w:pPr>
      <w:spacing w:before="120" w:after="240"/>
    </w:pPr>
    <w:rPr>
      <w:rFonts w:ascii="Arial" w:hAnsi="Arial"/>
      <w:sz w:val="22"/>
      <w:lang w:val="en-GB" w:eastAsia="en-US"/>
    </w:rPr>
  </w:style>
  <w:style w:type="paragraph" w:styleId="Heading1">
    <w:name w:val="heading 1"/>
    <w:basedOn w:val="Normal"/>
    <w:next w:val="BodyTextNormal"/>
    <w:link w:val="Heading1Char"/>
    <w:uiPriority w:val="9"/>
    <w:qFormat/>
    <w:rsid w:val="00F21B3A"/>
    <w:pPr>
      <w:keepNext/>
      <w:spacing w:before="240" w:after="120"/>
      <w:outlineLvl w:val="0"/>
    </w:pPr>
    <w:rPr>
      <w:rFonts w:ascii="Arial Bold" w:eastAsia="Times New Roman" w:hAnsi="Arial Bold" w:cs="Arial"/>
      <w:b/>
      <w:bCs/>
      <w:color w:val="1F144A" w:themeColor="text1"/>
      <w:kern w:val="32"/>
      <w:sz w:val="32"/>
      <w:szCs w:val="32"/>
    </w:rPr>
  </w:style>
  <w:style w:type="paragraph" w:styleId="Heading2">
    <w:name w:val="heading 2"/>
    <w:basedOn w:val="Normal"/>
    <w:next w:val="BodyTextNormal"/>
    <w:link w:val="Heading2Char"/>
    <w:uiPriority w:val="9"/>
    <w:qFormat/>
    <w:rsid w:val="00D52006"/>
    <w:pPr>
      <w:keepNext/>
      <w:spacing w:before="360" w:after="120"/>
      <w:outlineLvl w:val="1"/>
    </w:pPr>
    <w:rPr>
      <w:rFonts w:ascii="Arial Bold" w:eastAsia="Times New Roman" w:hAnsi="Arial Bold" w:cs="Arial"/>
      <w:b/>
      <w:bCs/>
      <w:iCs/>
      <w:color w:val="1F144A" w:themeColor="text1"/>
      <w:sz w:val="28"/>
      <w:szCs w:val="28"/>
    </w:rPr>
  </w:style>
  <w:style w:type="paragraph" w:styleId="Heading3">
    <w:name w:val="heading 3"/>
    <w:basedOn w:val="Normal"/>
    <w:next w:val="BodyTextNormal"/>
    <w:link w:val="Heading3Char"/>
    <w:qFormat/>
    <w:rsid w:val="00694EB1"/>
    <w:pPr>
      <w:keepNext/>
      <w:numPr>
        <w:ilvl w:val="2"/>
        <w:numId w:val="3"/>
      </w:numPr>
      <w:spacing w:before="240" w:after="120"/>
      <w:outlineLvl w:val="2"/>
    </w:pPr>
    <w:rPr>
      <w:rFonts w:ascii="Arial Bold" w:eastAsia="Times New Roman" w:hAnsi="Arial Bold" w:cs="Arial"/>
      <w:b/>
      <w:bCs/>
      <w:color w:val="1F144A" w:themeColor="text1"/>
      <w:sz w:val="26"/>
      <w:szCs w:val="26"/>
    </w:rPr>
  </w:style>
  <w:style w:type="paragraph" w:styleId="Heading4">
    <w:name w:val="heading 4"/>
    <w:basedOn w:val="Normal"/>
    <w:next w:val="BodyTextNormal"/>
    <w:link w:val="Heading4Char"/>
    <w:qFormat/>
    <w:rsid w:val="00F21B3A"/>
    <w:pPr>
      <w:keepNext/>
      <w:spacing w:before="240" w:after="120"/>
      <w:ind w:left="851"/>
      <w:outlineLvl w:val="3"/>
    </w:pPr>
    <w:rPr>
      <w:rFonts w:ascii="Arial Bold" w:eastAsia="Times New Roman" w:hAnsi="Arial Bold"/>
      <w:b/>
      <w:bCs/>
      <w:color w:val="1F144A" w:themeColor="text1"/>
      <w:sz w:val="24"/>
      <w:szCs w:val="22"/>
    </w:rPr>
  </w:style>
  <w:style w:type="paragraph" w:styleId="Heading5">
    <w:name w:val="heading 5"/>
    <w:basedOn w:val="Heading4"/>
    <w:next w:val="Normal"/>
    <w:link w:val="Heading5Char"/>
    <w:qFormat/>
    <w:rsid w:val="00FC7897"/>
    <w:pPr>
      <w:outlineLvl w:val="4"/>
    </w:pPr>
    <w:rPr>
      <w:rFonts w:asciiTheme="majorHAnsi" w:hAnsiTheme="majorHAnsi"/>
      <w:b w:val="0"/>
      <w:bCs w:val="0"/>
      <w:iCs/>
      <w:sz w:val="22"/>
    </w:rPr>
  </w:style>
  <w:style w:type="paragraph" w:styleId="Heading6">
    <w:name w:val="heading 6"/>
    <w:basedOn w:val="Normal"/>
    <w:next w:val="BodyTextNormal"/>
    <w:link w:val="Heading6Char"/>
    <w:qFormat/>
    <w:rsid w:val="00753E7E"/>
    <w:pPr>
      <w:spacing w:before="240" w:after="120"/>
      <w:outlineLvl w:val="5"/>
    </w:pPr>
    <w:rPr>
      <w:rFonts w:eastAsia="Times New Roman"/>
      <w:b/>
      <w:bCs/>
      <w:color w:val="29235C"/>
    </w:rPr>
  </w:style>
  <w:style w:type="paragraph" w:styleId="Heading7">
    <w:name w:val="heading 7"/>
    <w:basedOn w:val="Normal"/>
    <w:next w:val="Normal"/>
    <w:link w:val="Heading7Char"/>
    <w:semiHidden/>
    <w:qFormat/>
    <w:rsid w:val="00590539"/>
    <w:pPr>
      <w:spacing w:before="240" w:after="60"/>
      <w:outlineLvl w:val="6"/>
    </w:pPr>
    <w:rPr>
      <w:rFonts w:ascii="Arial Bold" w:eastAsia="Times New Roman" w:hAnsi="Arial Bold"/>
      <w:b/>
      <w:szCs w:val="22"/>
    </w:rPr>
  </w:style>
  <w:style w:type="paragraph" w:styleId="Heading8">
    <w:name w:val="heading 8"/>
    <w:basedOn w:val="Normal"/>
    <w:next w:val="Normal"/>
    <w:link w:val="Heading8Char"/>
    <w:semiHidden/>
    <w:rsid w:val="00EE5A03"/>
    <w:pPr>
      <w:spacing w:after="60"/>
      <w:outlineLvl w:val="7"/>
    </w:pPr>
    <w:rPr>
      <w:rFonts w:eastAsia="Times New Roman"/>
      <w:i/>
      <w:iCs/>
    </w:rPr>
  </w:style>
  <w:style w:type="paragraph" w:styleId="Heading9">
    <w:name w:val="heading 9"/>
    <w:basedOn w:val="Normal"/>
    <w:next w:val="Normal"/>
    <w:link w:val="Heading9Char"/>
    <w:semiHidden/>
    <w:qFormat/>
    <w:rsid w:val="00DD3100"/>
    <w:pPr>
      <w:numPr>
        <w:ilvl w:val="8"/>
        <w:numId w:val="2"/>
      </w:numPr>
      <w:tabs>
        <w:tab w:val="clear" w:pos="5760"/>
        <w:tab w:val="num" w:pos="1584"/>
      </w:tabs>
      <w:spacing w:before="240" w:after="60"/>
      <w:ind w:left="1584" w:hanging="1584"/>
      <w:outlineLvl w:val="8"/>
    </w:pPr>
    <w:rPr>
      <w:rFonts w:eastAsia="Times New Roman"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1B3A"/>
    <w:rPr>
      <w:rFonts w:ascii="Arial Bold" w:eastAsia="Times New Roman" w:hAnsi="Arial Bold" w:cs="Arial"/>
      <w:b/>
      <w:bCs/>
      <w:color w:val="1F144A" w:themeColor="text1"/>
      <w:kern w:val="32"/>
      <w:sz w:val="32"/>
      <w:szCs w:val="32"/>
      <w:lang w:val="en-GB" w:eastAsia="en-US"/>
    </w:rPr>
  </w:style>
  <w:style w:type="character" w:customStyle="1" w:styleId="Heading2Char">
    <w:name w:val="Heading 2 Char"/>
    <w:basedOn w:val="DefaultParagraphFont"/>
    <w:link w:val="Heading2"/>
    <w:uiPriority w:val="9"/>
    <w:rsid w:val="00D52006"/>
    <w:rPr>
      <w:rFonts w:ascii="Arial Bold" w:eastAsia="Times New Roman" w:hAnsi="Arial Bold" w:cs="Arial"/>
      <w:b/>
      <w:bCs/>
      <w:iCs/>
      <w:color w:val="1F144A" w:themeColor="text1"/>
      <w:sz w:val="28"/>
      <w:szCs w:val="28"/>
      <w:lang w:val="en-GB" w:eastAsia="en-US"/>
    </w:rPr>
  </w:style>
  <w:style w:type="character" w:customStyle="1" w:styleId="Heading3Char">
    <w:name w:val="Heading 3 Char"/>
    <w:basedOn w:val="DefaultParagraphFont"/>
    <w:link w:val="Heading3"/>
    <w:rsid w:val="00694EB1"/>
    <w:rPr>
      <w:rFonts w:ascii="Arial Bold" w:eastAsia="Times New Roman" w:hAnsi="Arial Bold" w:cs="Arial"/>
      <w:b/>
      <w:bCs/>
      <w:color w:val="1F144A" w:themeColor="text1"/>
      <w:sz w:val="26"/>
      <w:szCs w:val="26"/>
      <w:lang w:val="en-GB" w:eastAsia="en-US"/>
    </w:rPr>
  </w:style>
  <w:style w:type="character" w:customStyle="1" w:styleId="Heading4Char">
    <w:name w:val="Heading 4 Char"/>
    <w:basedOn w:val="DefaultParagraphFont"/>
    <w:link w:val="Heading4"/>
    <w:rsid w:val="00F21B3A"/>
    <w:rPr>
      <w:rFonts w:ascii="Arial Bold" w:eastAsia="Times New Roman" w:hAnsi="Arial Bold"/>
      <w:b/>
      <w:bCs/>
      <w:color w:val="1F144A" w:themeColor="text1"/>
      <w:szCs w:val="22"/>
      <w:lang w:val="en-GB" w:eastAsia="en-US"/>
    </w:rPr>
  </w:style>
  <w:style w:type="character" w:customStyle="1" w:styleId="Heading5Char">
    <w:name w:val="Heading 5 Char"/>
    <w:basedOn w:val="DefaultParagraphFont"/>
    <w:link w:val="Heading5"/>
    <w:rsid w:val="00FC7897"/>
    <w:rPr>
      <w:rFonts w:asciiTheme="majorHAnsi" w:eastAsia="Times New Roman" w:hAnsiTheme="majorHAnsi"/>
      <w:iCs/>
      <w:color w:val="1F144A" w:themeColor="text1"/>
      <w:sz w:val="22"/>
      <w:szCs w:val="22"/>
      <w:lang w:val="en-GB" w:eastAsia="en-US"/>
    </w:rPr>
  </w:style>
  <w:style w:type="character" w:customStyle="1" w:styleId="Heading6Char">
    <w:name w:val="Heading 6 Char"/>
    <w:basedOn w:val="DefaultParagraphFont"/>
    <w:link w:val="Heading6"/>
    <w:rsid w:val="00753E7E"/>
    <w:rPr>
      <w:rFonts w:ascii="Arial" w:eastAsia="Times New Roman" w:hAnsi="Arial"/>
      <w:b/>
      <w:bCs/>
      <w:color w:val="29235C"/>
      <w:sz w:val="22"/>
      <w:lang w:val="en-GB" w:eastAsia="en-US"/>
    </w:rPr>
  </w:style>
  <w:style w:type="character" w:customStyle="1" w:styleId="Heading7Char">
    <w:name w:val="Heading 7 Char"/>
    <w:basedOn w:val="DefaultParagraphFont"/>
    <w:link w:val="Heading7"/>
    <w:semiHidden/>
    <w:rsid w:val="004B2131"/>
    <w:rPr>
      <w:rFonts w:ascii="Arial Bold" w:eastAsia="Times New Roman" w:hAnsi="Arial Bold"/>
      <w:b/>
      <w:sz w:val="22"/>
      <w:szCs w:val="22"/>
      <w:lang w:val="en-GB" w:eastAsia="en-US"/>
    </w:rPr>
  </w:style>
  <w:style w:type="character" w:customStyle="1" w:styleId="Heading8Char">
    <w:name w:val="Heading 8 Char"/>
    <w:basedOn w:val="DefaultParagraphFont"/>
    <w:link w:val="Heading8"/>
    <w:semiHidden/>
    <w:rsid w:val="004B2131"/>
    <w:rPr>
      <w:rFonts w:ascii="Arial" w:eastAsia="Times New Roman" w:hAnsi="Arial"/>
      <w:i/>
      <w:iCs/>
      <w:sz w:val="22"/>
      <w:lang w:val="en-GB" w:eastAsia="en-US"/>
    </w:rPr>
  </w:style>
  <w:style w:type="character" w:customStyle="1" w:styleId="Heading9Char">
    <w:name w:val="Heading 9 Char"/>
    <w:basedOn w:val="DefaultParagraphFont"/>
    <w:link w:val="Heading9"/>
    <w:semiHidden/>
    <w:rsid w:val="004B2131"/>
    <w:rPr>
      <w:rFonts w:ascii="Arial" w:eastAsia="Times New Roman" w:hAnsi="Arial" w:cs="Arial"/>
      <w:sz w:val="22"/>
      <w:szCs w:val="22"/>
      <w:lang w:val="en-GB" w:eastAsia="en-US"/>
    </w:rPr>
  </w:style>
  <w:style w:type="paragraph" w:styleId="BalloonText">
    <w:name w:val="Balloon Text"/>
    <w:basedOn w:val="Normal"/>
    <w:link w:val="BalloonTextChar"/>
    <w:uiPriority w:val="99"/>
    <w:semiHidden/>
    <w:rsid w:val="002A05BD"/>
    <w:pPr>
      <w:spacing w:before="0"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73B5A"/>
    <w:rPr>
      <w:rFonts w:ascii="Lucida Grande" w:hAnsi="Lucida Grande" w:cs="Lucida Grande"/>
      <w:sz w:val="18"/>
      <w:szCs w:val="18"/>
      <w:lang w:val="en-GB" w:eastAsia="en-US"/>
    </w:rPr>
  </w:style>
  <w:style w:type="paragraph" w:customStyle="1" w:styleId="CoverPageSubtext">
    <w:name w:val="Cover Page – Subtext"/>
    <w:basedOn w:val="Normal"/>
    <w:next w:val="BodyTextNormal"/>
    <w:link w:val="CoverPageSubtextChar"/>
    <w:qFormat/>
    <w:rsid w:val="008F49D9"/>
    <w:pPr>
      <w:tabs>
        <w:tab w:val="center" w:pos="4320"/>
        <w:tab w:val="right" w:pos="8640"/>
      </w:tabs>
      <w:spacing w:after="120"/>
    </w:pPr>
    <w:rPr>
      <w:rFonts w:eastAsia="Times New Roman"/>
      <w:b/>
      <w:color w:val="5C2071" w:themeColor="accent1"/>
      <w:sz w:val="24"/>
    </w:rPr>
  </w:style>
  <w:style w:type="character" w:customStyle="1" w:styleId="CoverPageSubtextChar">
    <w:name w:val="Cover Page – Subtext Char"/>
    <w:basedOn w:val="DefaultParagraphFont"/>
    <w:link w:val="CoverPageSubtext"/>
    <w:rsid w:val="00525C10"/>
    <w:rPr>
      <w:rFonts w:ascii="Arial" w:eastAsia="Times New Roman" w:hAnsi="Arial"/>
      <w:b/>
      <w:color w:val="5C2071" w:themeColor="accent1"/>
      <w:lang w:val="en-GB" w:eastAsia="en-US"/>
    </w:rPr>
  </w:style>
  <w:style w:type="paragraph" w:styleId="TOC3">
    <w:name w:val="toc 3"/>
    <w:basedOn w:val="Normal"/>
    <w:next w:val="Normal"/>
    <w:uiPriority w:val="39"/>
    <w:rsid w:val="00EA4813"/>
    <w:pPr>
      <w:tabs>
        <w:tab w:val="left" w:pos="1701"/>
        <w:tab w:val="right" w:leader="dot" w:pos="9356"/>
      </w:tabs>
      <w:spacing w:after="120"/>
      <w:ind w:left="1134"/>
    </w:pPr>
    <w:rPr>
      <w:rFonts w:asciiTheme="minorHAnsi" w:hAnsiTheme="minorHAnsi" w:cstheme="minorHAnsi"/>
      <w:bCs/>
      <w:color w:val="1F144A" w:themeColor="text1"/>
    </w:rPr>
  </w:style>
  <w:style w:type="paragraph" w:customStyle="1" w:styleId="ListTick">
    <w:name w:val="List Tick"/>
    <w:basedOn w:val="BodyTextNormal"/>
    <w:uiPriority w:val="1"/>
    <w:qFormat/>
    <w:rsid w:val="00443F93"/>
    <w:pPr>
      <w:numPr>
        <w:numId w:val="4"/>
      </w:numPr>
      <w:tabs>
        <w:tab w:val="clear" w:pos="851"/>
        <w:tab w:val="num" w:pos="567"/>
      </w:tabs>
      <w:ind w:left="1248"/>
    </w:pPr>
    <w:rPr>
      <w:rFonts w:eastAsia="Times New Roman"/>
      <w:szCs w:val="22"/>
    </w:rPr>
  </w:style>
  <w:style w:type="paragraph" w:styleId="ListBullet">
    <w:name w:val="List Bullet"/>
    <w:basedOn w:val="BodyTextNormal"/>
    <w:uiPriority w:val="99"/>
    <w:qFormat/>
    <w:rsid w:val="00FA0866"/>
    <w:pPr>
      <w:numPr>
        <w:numId w:val="11"/>
      </w:numPr>
      <w:spacing w:after="120"/>
      <w:contextualSpacing/>
    </w:pPr>
  </w:style>
  <w:style w:type="paragraph" w:customStyle="1" w:styleId="ListCross">
    <w:name w:val="List Cross"/>
    <w:basedOn w:val="BodyTextNormal"/>
    <w:qFormat/>
    <w:rsid w:val="00443F93"/>
    <w:pPr>
      <w:numPr>
        <w:numId w:val="5"/>
      </w:numPr>
      <w:ind w:left="1248"/>
    </w:pPr>
  </w:style>
  <w:style w:type="paragraph" w:customStyle="1" w:styleId="TableHeadings">
    <w:name w:val="Table Headings"/>
    <w:basedOn w:val="Normal"/>
    <w:qFormat/>
    <w:rsid w:val="004B2131"/>
    <w:pPr>
      <w:spacing w:after="120"/>
    </w:pPr>
    <w:rPr>
      <w:rFonts w:eastAsia="Times New Roman"/>
      <w:bCs/>
      <w:color w:val="FFFFFF" w:themeColor="background1"/>
    </w:rPr>
  </w:style>
  <w:style w:type="paragraph" w:customStyle="1" w:styleId="TableText-Left">
    <w:name w:val="Table Text - Left"/>
    <w:basedOn w:val="BodyTextNormal"/>
    <w:link w:val="TableText-LeftChar"/>
    <w:qFormat/>
    <w:rsid w:val="009A7FCE"/>
    <w:pPr>
      <w:spacing w:before="60" w:after="60"/>
    </w:pPr>
    <w:rPr>
      <w:rFonts w:eastAsia="Times New Roman"/>
    </w:rPr>
  </w:style>
  <w:style w:type="character" w:customStyle="1" w:styleId="TableText-LeftChar">
    <w:name w:val="Table Text - Left Char"/>
    <w:basedOn w:val="DefaultParagraphFont"/>
    <w:link w:val="TableText-Left"/>
    <w:rsid w:val="009A7FCE"/>
    <w:rPr>
      <w:rFonts w:ascii="Arial" w:eastAsia="Times New Roman" w:hAnsi="Arial"/>
      <w:sz w:val="22"/>
      <w:lang w:val="en-GB" w:eastAsia="en-US"/>
    </w:rPr>
  </w:style>
  <w:style w:type="paragraph" w:customStyle="1" w:styleId="TableText-Centre">
    <w:name w:val="Table Text - Centre"/>
    <w:basedOn w:val="BodyTextNormal"/>
    <w:link w:val="TableText-CentreChar"/>
    <w:qFormat/>
    <w:rsid w:val="009A7FCE"/>
    <w:pPr>
      <w:jc w:val="center"/>
    </w:pPr>
  </w:style>
  <w:style w:type="character" w:customStyle="1" w:styleId="TableText-CentreChar">
    <w:name w:val="Table Text - Centre Char"/>
    <w:basedOn w:val="TableText-LeftChar"/>
    <w:link w:val="TableText-Centre"/>
    <w:rsid w:val="009A7FCE"/>
    <w:rPr>
      <w:rFonts w:ascii="Arial" w:eastAsia="Times New Roman" w:hAnsi="Arial"/>
      <w:sz w:val="22"/>
      <w:lang w:val="en-GB" w:eastAsia="en-US"/>
    </w:rPr>
  </w:style>
  <w:style w:type="paragraph" w:customStyle="1" w:styleId="TableText-Right">
    <w:name w:val="Table Text - Right"/>
    <w:basedOn w:val="BodyTextNormal"/>
    <w:link w:val="TableText-RightChar"/>
    <w:qFormat/>
    <w:rsid w:val="009A7FCE"/>
    <w:pPr>
      <w:jc w:val="right"/>
    </w:pPr>
  </w:style>
  <w:style w:type="character" w:customStyle="1" w:styleId="TableText-RightChar">
    <w:name w:val="Table Text - Right Char"/>
    <w:basedOn w:val="TableText-CentreChar"/>
    <w:link w:val="TableText-Right"/>
    <w:rsid w:val="009A7FCE"/>
    <w:rPr>
      <w:rFonts w:ascii="Arial" w:eastAsia="Times New Roman" w:hAnsi="Arial"/>
      <w:sz w:val="22"/>
      <w:lang w:val="en-GB" w:eastAsia="en-US"/>
    </w:rPr>
  </w:style>
  <w:style w:type="paragraph" w:styleId="Caption">
    <w:name w:val="caption"/>
    <w:basedOn w:val="BodyTextNormal"/>
    <w:next w:val="BodyTextNormal"/>
    <w:qFormat/>
    <w:rsid w:val="009A7FCE"/>
    <w:pPr>
      <w:spacing w:before="240"/>
    </w:pPr>
    <w:rPr>
      <w:rFonts w:eastAsia="Times New Roman"/>
      <w:b/>
      <w:bCs/>
      <w:color w:val="5C2071" w:themeColor="accent1"/>
      <w:sz w:val="18"/>
      <w:szCs w:val="20"/>
    </w:rPr>
  </w:style>
  <w:style w:type="character" w:styleId="PageNumber">
    <w:name w:val="page number"/>
    <w:basedOn w:val="DefaultParagraphFont"/>
    <w:uiPriority w:val="99"/>
    <w:semiHidden/>
    <w:rsid w:val="00FF4EC2"/>
  </w:style>
  <w:style w:type="paragraph" w:styleId="TOC1">
    <w:name w:val="toc 1"/>
    <w:basedOn w:val="Heading2"/>
    <w:next w:val="Normal"/>
    <w:uiPriority w:val="39"/>
    <w:rsid w:val="00EA4813"/>
    <w:pPr>
      <w:keepNext w:val="0"/>
      <w:tabs>
        <w:tab w:val="left" w:pos="567"/>
        <w:tab w:val="decimal" w:pos="1610"/>
        <w:tab w:val="right" w:leader="dot" w:pos="9356"/>
      </w:tabs>
      <w:spacing w:before="120"/>
      <w:outlineLvl w:val="9"/>
    </w:pPr>
    <w:rPr>
      <w:rFonts w:asciiTheme="minorHAnsi" w:eastAsiaTheme="minorEastAsia" w:hAnsiTheme="minorHAnsi" w:cstheme="minorHAnsi"/>
      <w:bCs w:val="0"/>
      <w:iCs w:val="0"/>
      <w:noProof/>
      <w:sz w:val="24"/>
      <w:szCs w:val="24"/>
    </w:rPr>
  </w:style>
  <w:style w:type="paragraph" w:styleId="TOC2">
    <w:name w:val="toc 2"/>
    <w:basedOn w:val="Heading3"/>
    <w:next w:val="Normal"/>
    <w:uiPriority w:val="39"/>
    <w:rsid w:val="00EA4813"/>
    <w:pPr>
      <w:keepNext w:val="0"/>
      <w:numPr>
        <w:ilvl w:val="0"/>
        <w:numId w:val="0"/>
      </w:numPr>
      <w:tabs>
        <w:tab w:val="left" w:pos="1134"/>
        <w:tab w:val="right" w:leader="dot" w:pos="9356"/>
      </w:tabs>
      <w:spacing w:before="120"/>
      <w:ind w:left="567"/>
      <w:outlineLvl w:val="9"/>
    </w:pPr>
    <w:rPr>
      <w:rFonts w:asciiTheme="minorHAnsi" w:eastAsiaTheme="minorEastAsia" w:hAnsiTheme="minorHAnsi" w:cstheme="minorHAnsi"/>
      <w:b w:val="0"/>
      <w:bCs w:val="0"/>
      <w:noProof/>
      <w:sz w:val="22"/>
      <w:szCs w:val="22"/>
    </w:rPr>
  </w:style>
  <w:style w:type="paragraph" w:customStyle="1" w:styleId="CoverPageTitle">
    <w:name w:val="Cover Page – Title"/>
    <w:basedOn w:val="Normal"/>
    <w:next w:val="CoverPageSubtitle"/>
    <w:qFormat/>
    <w:rsid w:val="00443F93"/>
    <w:pPr>
      <w:spacing w:before="240" w:after="120"/>
    </w:pPr>
    <w:rPr>
      <w:b/>
      <w:color w:val="1F144A" w:themeColor="text1"/>
      <w:sz w:val="56"/>
    </w:rPr>
  </w:style>
  <w:style w:type="table" w:styleId="MediumGrid3-Accent4">
    <w:name w:val="Medium Grid 3 Accent 4"/>
    <w:aliases w:val="DCC Template"/>
    <w:basedOn w:val="TableNormal"/>
    <w:uiPriority w:val="69"/>
    <w:rsid w:val="00953DFA"/>
    <w:rPr>
      <w:rFonts w:ascii="Arial" w:eastAsia="Times New Roman" w:hAnsi="Arial"/>
      <w:sz w:val="20"/>
      <w:szCs w:val="20"/>
      <w:lang w:val="en-GB" w:eastAsia="en-GB"/>
    </w:rPr>
    <w:tblPr>
      <w:tblStyleRowBandSize w:val="1"/>
      <w:tblStyleColBandSize w:val="1"/>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Pr>
    <w:tcPr>
      <w:shd w:val="clear" w:color="auto" w:fill="DFD8E8"/>
      <w:vAlign w:val="center"/>
    </w:tcPr>
    <w:tblStylePr w:type="firstRow">
      <w:rPr>
        <w:rFonts w:ascii="Arial" w:hAnsi="Arial"/>
        <w:b/>
        <w:bCs/>
        <w:i w:val="0"/>
        <w:iCs w:val="0"/>
        <w:color w:val="FFFFFF"/>
        <w:sz w:val="24"/>
      </w:rPr>
      <w:tblPr/>
      <w:tcPr>
        <w:shd w:val="clear" w:color="auto" w:fill="5C2071" w:themeFill="accent1"/>
      </w:tcPr>
    </w:tblStylePr>
    <w:tblStylePr w:type="lastRow">
      <w:rPr>
        <w:rFonts w:asciiTheme="minorHAnsi" w:hAnsiTheme="minorHAnsi"/>
        <w:b w:val="0"/>
        <w:bCs/>
        <w:i w:val="0"/>
        <w:iCs w:val="0"/>
        <w:color w:val="auto"/>
      </w:rPr>
      <w:tblPr/>
      <w:tcPr>
        <w:shd w:val="clear" w:color="auto" w:fill="D3BACF"/>
      </w:tcPr>
    </w:tblStylePr>
    <w:tblStylePr w:type="firstCol">
      <w:rPr>
        <w:b w:val="0"/>
        <w:bCs/>
        <w:i w:val="0"/>
        <w:iCs w:val="0"/>
        <w:color w:val="auto"/>
      </w:rPr>
    </w:tblStylePr>
    <w:tblStylePr w:type="lastCol">
      <w:rPr>
        <w:b w:val="0"/>
        <w:bCs/>
        <w:i w:val="0"/>
        <w:iCs w:val="0"/>
        <w:color w:val="auto"/>
      </w:rPr>
    </w:tblStylePr>
    <w:tblStylePr w:type="band1Horz">
      <w:rPr>
        <w:rFonts w:asciiTheme="minorHAnsi" w:hAnsiTheme="minorHAnsi"/>
      </w:rPr>
      <w:tblPr/>
      <w:tcPr>
        <w:shd w:val="clear" w:color="auto" w:fill="E5D4DF"/>
      </w:tcPr>
    </w:tblStylePr>
    <w:tblStylePr w:type="band2Horz">
      <w:rPr>
        <w:rFonts w:asciiTheme="minorHAnsi" w:hAnsiTheme="minorHAnsi"/>
      </w:rPr>
      <w:tblPr/>
      <w:tcPr>
        <w:shd w:val="clear" w:color="auto" w:fill="D3BACF"/>
      </w:tcPr>
    </w:tblStylePr>
  </w:style>
  <w:style w:type="table" w:styleId="TableGrid">
    <w:name w:val="Table Grid"/>
    <w:basedOn w:val="TableNormal"/>
    <w:uiPriority w:val="59"/>
    <w:rsid w:val="003568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1498E"/>
    <w:rPr>
      <w:color w:val="808080"/>
    </w:rPr>
  </w:style>
  <w:style w:type="paragraph" w:styleId="TOCHeading">
    <w:name w:val="TOC Heading"/>
    <w:basedOn w:val="Heading1"/>
    <w:next w:val="Normal"/>
    <w:uiPriority w:val="39"/>
    <w:qFormat/>
    <w:rsid w:val="007D4BF4"/>
    <w:pPr>
      <w:keepLines/>
      <w:spacing w:before="0" w:after="240"/>
      <w:outlineLvl w:val="9"/>
    </w:pPr>
    <w:rPr>
      <w:rFonts w:ascii="Arial" w:eastAsiaTheme="majorEastAsia" w:hAnsi="Arial" w:cstheme="majorBidi"/>
      <w:kern w:val="0"/>
    </w:rPr>
  </w:style>
  <w:style w:type="paragraph" w:customStyle="1" w:styleId="Footnote">
    <w:name w:val="Footnote"/>
    <w:basedOn w:val="FootnoteText"/>
    <w:rsid w:val="00A32F74"/>
    <w:pPr>
      <w:spacing w:before="120" w:after="240"/>
    </w:pPr>
    <w:rPr>
      <w:rFonts w:eastAsia="Times New Roman"/>
    </w:rPr>
  </w:style>
  <w:style w:type="paragraph" w:styleId="TOAHeading">
    <w:name w:val="toa heading"/>
    <w:basedOn w:val="Normal"/>
    <w:next w:val="Normal"/>
    <w:uiPriority w:val="99"/>
    <w:semiHidden/>
    <w:rsid w:val="00673396"/>
    <w:rPr>
      <w:rFonts w:asciiTheme="majorHAnsi" w:eastAsiaTheme="majorEastAsia" w:hAnsiTheme="majorHAnsi" w:cstheme="majorBidi"/>
      <w:b/>
      <w:bCs/>
      <w:sz w:val="24"/>
    </w:rPr>
  </w:style>
  <w:style w:type="paragraph" w:styleId="ListBullet2">
    <w:name w:val="List Bullet 2"/>
    <w:basedOn w:val="BodyTextNormal"/>
    <w:uiPriority w:val="99"/>
    <w:qFormat/>
    <w:rsid w:val="00526231"/>
    <w:pPr>
      <w:numPr>
        <w:ilvl w:val="1"/>
        <w:numId w:val="11"/>
      </w:numPr>
      <w:spacing w:after="120"/>
      <w:ind w:left="1134"/>
      <w:contextualSpacing/>
    </w:pPr>
    <w:rPr>
      <w:szCs w:val="22"/>
    </w:rPr>
  </w:style>
  <w:style w:type="paragraph" w:styleId="ListBullet3">
    <w:name w:val="List Bullet 3"/>
    <w:basedOn w:val="BodyTextNormal"/>
    <w:uiPriority w:val="99"/>
    <w:qFormat/>
    <w:rsid w:val="00443F93"/>
    <w:pPr>
      <w:numPr>
        <w:ilvl w:val="2"/>
        <w:numId w:val="11"/>
      </w:numPr>
      <w:ind w:left="2041" w:hanging="397"/>
    </w:pPr>
  </w:style>
  <w:style w:type="character" w:styleId="Hyperlink">
    <w:name w:val="Hyperlink"/>
    <w:basedOn w:val="DefaultParagraphFont"/>
    <w:uiPriority w:val="99"/>
    <w:qFormat/>
    <w:rsid w:val="00B9617C"/>
    <w:rPr>
      <w:rFonts w:ascii="Arial" w:hAnsi="Arial"/>
      <w:color w:val="1F144A" w:themeColor="text1"/>
      <w:sz w:val="22"/>
      <w:u w:val="single"/>
    </w:rPr>
  </w:style>
  <w:style w:type="paragraph" w:styleId="List">
    <w:name w:val="List"/>
    <w:basedOn w:val="Normal"/>
    <w:uiPriority w:val="99"/>
    <w:semiHidden/>
    <w:rsid w:val="00DD3100"/>
    <w:pPr>
      <w:ind w:left="283" w:hanging="283"/>
      <w:contextualSpacing/>
    </w:pPr>
  </w:style>
  <w:style w:type="paragraph" w:customStyle="1" w:styleId="BOLD">
    <w:name w:val="BOLD"/>
    <w:basedOn w:val="Normal"/>
    <w:next w:val="Normal"/>
    <w:semiHidden/>
    <w:qFormat/>
    <w:rsid w:val="00711F1A"/>
    <w:rPr>
      <w:b/>
    </w:rPr>
  </w:style>
  <w:style w:type="paragraph" w:customStyle="1" w:styleId="italic">
    <w:name w:val="italic"/>
    <w:basedOn w:val="Normal"/>
    <w:next w:val="Normal"/>
    <w:semiHidden/>
    <w:qFormat/>
    <w:rsid w:val="00711F1A"/>
    <w:rPr>
      <w:i/>
    </w:rPr>
  </w:style>
  <w:style w:type="paragraph" w:customStyle="1" w:styleId="Tableannotation">
    <w:name w:val="Table annotation"/>
    <w:basedOn w:val="Caption"/>
    <w:next w:val="BodyTextNormal"/>
    <w:qFormat/>
    <w:rsid w:val="005C523A"/>
    <w:pPr>
      <w:numPr>
        <w:numId w:val="16"/>
      </w:numPr>
      <w:jc w:val="center"/>
    </w:pPr>
  </w:style>
  <w:style w:type="paragraph" w:customStyle="1" w:styleId="Figureannotation">
    <w:name w:val="Figure annotation"/>
    <w:basedOn w:val="Caption"/>
    <w:qFormat/>
    <w:rsid w:val="005C523A"/>
    <w:pPr>
      <w:keepNext/>
      <w:numPr>
        <w:numId w:val="15"/>
      </w:numPr>
      <w:spacing w:before="120"/>
      <w:jc w:val="center"/>
    </w:pPr>
  </w:style>
  <w:style w:type="paragraph" w:styleId="FootnoteText">
    <w:name w:val="footnote text"/>
    <w:basedOn w:val="Normal"/>
    <w:next w:val="Normal"/>
    <w:link w:val="FootnoteTextChar"/>
    <w:uiPriority w:val="99"/>
    <w:rsid w:val="00BA081A"/>
    <w:pPr>
      <w:spacing w:before="240" w:after="120"/>
      <w:contextualSpacing/>
    </w:pPr>
    <w:rPr>
      <w:sz w:val="16"/>
      <w:szCs w:val="20"/>
    </w:rPr>
  </w:style>
  <w:style w:type="character" w:customStyle="1" w:styleId="FootnoteTextChar">
    <w:name w:val="Footnote Text Char"/>
    <w:basedOn w:val="DefaultParagraphFont"/>
    <w:link w:val="FootnoteText"/>
    <w:uiPriority w:val="99"/>
    <w:rsid w:val="00673B5A"/>
    <w:rPr>
      <w:rFonts w:ascii="Arial" w:hAnsi="Arial"/>
      <w:sz w:val="16"/>
      <w:szCs w:val="20"/>
      <w:lang w:val="en-GB" w:eastAsia="en-US"/>
    </w:rPr>
  </w:style>
  <w:style w:type="paragraph" w:customStyle="1" w:styleId="FooterDocumentTitle">
    <w:name w:val="Footer Document Title"/>
    <w:basedOn w:val="Normal"/>
    <w:semiHidden/>
    <w:qFormat/>
    <w:rsid w:val="007D42F0"/>
    <w:pPr>
      <w:spacing w:after="120"/>
      <w:ind w:left="-368" w:right="357" w:hanging="709"/>
    </w:pPr>
    <w:rPr>
      <w:sz w:val="16"/>
      <w:szCs w:val="16"/>
    </w:rPr>
  </w:style>
  <w:style w:type="paragraph" w:customStyle="1" w:styleId="DocumentControlHeading">
    <w:name w:val="Document Control Heading"/>
    <w:basedOn w:val="Normal"/>
    <w:next w:val="Heading6"/>
    <w:qFormat/>
    <w:rsid w:val="00443F93"/>
    <w:pPr>
      <w:spacing w:before="240" w:after="120"/>
    </w:pPr>
    <w:rPr>
      <w:rFonts w:ascii="Arial Bold" w:hAnsi="Arial Bold"/>
      <w:b/>
      <w:color w:val="1F144A" w:themeColor="text1"/>
      <w:sz w:val="36"/>
    </w:rPr>
  </w:style>
  <w:style w:type="paragraph" w:customStyle="1" w:styleId="DocumentControlSubtitle">
    <w:name w:val="Document Control Subtitle"/>
    <w:basedOn w:val="Normal"/>
    <w:next w:val="Heading6"/>
    <w:rsid w:val="00673396"/>
    <w:pPr>
      <w:spacing w:before="240" w:after="120"/>
    </w:pPr>
    <w:rPr>
      <w:b/>
      <w:color w:val="1F144A" w:themeColor="text1"/>
    </w:rPr>
  </w:style>
  <w:style w:type="paragraph" w:styleId="ListNumber">
    <w:name w:val="List Number"/>
    <w:basedOn w:val="BodyTextNormal"/>
    <w:uiPriority w:val="99"/>
    <w:qFormat/>
    <w:rsid w:val="00285B51"/>
    <w:pPr>
      <w:numPr>
        <w:numId w:val="8"/>
      </w:numPr>
      <w:ind w:left="1418" w:hanging="567"/>
    </w:pPr>
  </w:style>
  <w:style w:type="paragraph" w:styleId="ListNumber2">
    <w:name w:val="List Number 2"/>
    <w:basedOn w:val="BodyTextNormal"/>
    <w:uiPriority w:val="99"/>
    <w:qFormat/>
    <w:rsid w:val="00285B51"/>
    <w:pPr>
      <w:numPr>
        <w:ilvl w:val="1"/>
        <w:numId w:val="8"/>
      </w:numPr>
      <w:ind w:left="2269" w:hanging="851"/>
    </w:pPr>
  </w:style>
  <w:style w:type="paragraph" w:styleId="ListNumber3">
    <w:name w:val="List Number 3"/>
    <w:basedOn w:val="BodyTextNormal"/>
    <w:uiPriority w:val="99"/>
    <w:qFormat/>
    <w:rsid w:val="00285B51"/>
    <w:pPr>
      <w:numPr>
        <w:ilvl w:val="2"/>
        <w:numId w:val="8"/>
      </w:numPr>
      <w:ind w:left="3119"/>
    </w:pPr>
  </w:style>
  <w:style w:type="paragraph" w:customStyle="1" w:styleId="ListLettering">
    <w:name w:val="List Lettering"/>
    <w:basedOn w:val="BodyTextNormal"/>
    <w:qFormat/>
    <w:rsid w:val="00443F93"/>
    <w:pPr>
      <w:numPr>
        <w:numId w:val="7"/>
      </w:numPr>
      <w:ind w:left="1248" w:hanging="397"/>
    </w:pPr>
  </w:style>
  <w:style w:type="paragraph" w:customStyle="1" w:styleId="ParagraphNumbering">
    <w:name w:val="Paragraph Numbering"/>
    <w:basedOn w:val="BodyTextNormal"/>
    <w:qFormat/>
    <w:rsid w:val="002010E0"/>
    <w:pPr>
      <w:numPr>
        <w:numId w:val="6"/>
      </w:numPr>
      <w:tabs>
        <w:tab w:val="left" w:pos="-1134"/>
      </w:tabs>
    </w:pPr>
  </w:style>
  <w:style w:type="character" w:customStyle="1" w:styleId="Highlight">
    <w:name w:val="Highlight"/>
    <w:basedOn w:val="DefaultParagraphFont"/>
    <w:uiPriority w:val="1"/>
    <w:qFormat/>
    <w:rsid w:val="00195A5F"/>
    <w:rPr>
      <w:rFonts w:asciiTheme="minorHAnsi" w:hAnsiTheme="minorHAnsi"/>
      <w:sz w:val="22"/>
      <w:bdr w:val="none" w:sz="0" w:space="0" w:color="auto"/>
      <w:shd w:val="solid" w:color="FFFF00" w:fill="auto"/>
    </w:rPr>
  </w:style>
  <w:style w:type="paragraph" w:styleId="Quote">
    <w:name w:val="Quote"/>
    <w:basedOn w:val="Normal"/>
    <w:next w:val="Normal"/>
    <w:link w:val="QuoteChar"/>
    <w:uiPriority w:val="29"/>
    <w:semiHidden/>
    <w:qFormat/>
    <w:rsid w:val="001106F5"/>
    <w:pPr>
      <w:shd w:val="thinDiagStripe" w:color="FFFFFF" w:themeColor="background1" w:themeTint="99" w:fill="auto"/>
    </w:pPr>
    <w:rPr>
      <w:i/>
      <w:iCs/>
      <w:color w:val="1F144A" w:themeColor="text1"/>
    </w:rPr>
  </w:style>
  <w:style w:type="character" w:customStyle="1" w:styleId="QuoteChar">
    <w:name w:val="Quote Char"/>
    <w:basedOn w:val="DefaultParagraphFont"/>
    <w:link w:val="Quote"/>
    <w:uiPriority w:val="29"/>
    <w:semiHidden/>
    <w:rsid w:val="00673B5A"/>
    <w:rPr>
      <w:rFonts w:ascii="Arial" w:hAnsi="Arial"/>
      <w:i/>
      <w:iCs/>
      <w:color w:val="1F144A" w:themeColor="text1"/>
      <w:sz w:val="22"/>
      <w:shd w:val="thinDiagStripe" w:color="FFFFFF" w:themeColor="background1" w:themeTint="99" w:fill="auto"/>
      <w:lang w:val="en-GB" w:eastAsia="en-US"/>
    </w:rPr>
  </w:style>
  <w:style w:type="paragraph" w:customStyle="1" w:styleId="CaseStudyQuoteTitle">
    <w:name w:val="Case Study / Quote Title"/>
    <w:basedOn w:val="Normal"/>
    <w:rsid w:val="00443F93"/>
    <w:pPr>
      <w:pBdr>
        <w:top w:val="single" w:sz="8" w:space="1" w:color="FFFFFF" w:themeColor="background1" w:themeTint="33"/>
        <w:left w:val="single" w:sz="8" w:space="4" w:color="FFFFFF" w:themeColor="background1" w:themeTint="33"/>
        <w:bottom w:val="single" w:sz="8" w:space="10" w:color="FFFFFF" w:themeColor="background1" w:themeTint="33"/>
        <w:right w:val="single" w:sz="8" w:space="4" w:color="FFFFFF" w:themeColor="background1" w:themeTint="33"/>
      </w:pBdr>
      <w:shd w:val="solid" w:color="D9D9D9" w:themeColor="background1" w:themeShade="D9" w:fill="FFFFFF" w:themeFill="background1" w:themeFillTint="33"/>
      <w:spacing w:before="240" w:after="120"/>
    </w:pPr>
    <w:rPr>
      <w:b/>
      <w:color w:val="1F144A" w:themeColor="text1"/>
      <w:sz w:val="24"/>
    </w:rPr>
  </w:style>
  <w:style w:type="paragraph" w:customStyle="1" w:styleId="CaseStudy">
    <w:name w:val="Case Study"/>
    <w:basedOn w:val="BodyTextNormal"/>
    <w:rsid w:val="009A7FCE"/>
    <w:pPr>
      <w:pBdr>
        <w:top w:val="single" w:sz="8" w:space="1" w:color="FFFFFF" w:themeColor="background1" w:themeTint="33"/>
        <w:left w:val="single" w:sz="8" w:space="4" w:color="FFFFFF" w:themeColor="background1" w:themeTint="33"/>
        <w:bottom w:val="single" w:sz="8" w:space="10" w:color="FFFFFF" w:themeColor="background1" w:themeTint="33"/>
        <w:right w:val="single" w:sz="8" w:space="4" w:color="FFFFFF" w:themeColor="background1" w:themeTint="33"/>
      </w:pBdr>
      <w:shd w:val="solid" w:color="D9D9D9" w:themeColor="background1" w:themeShade="D9" w:fill="auto"/>
    </w:pPr>
  </w:style>
  <w:style w:type="paragraph" w:customStyle="1" w:styleId="CaseStudyQuoteBullets">
    <w:name w:val="Case Study / Quote Bullets"/>
    <w:basedOn w:val="CaseStudy"/>
    <w:qFormat/>
    <w:rsid w:val="00443F93"/>
    <w:pPr>
      <w:numPr>
        <w:numId w:val="9"/>
      </w:numPr>
      <w:ind w:left="397" w:hanging="397"/>
    </w:pPr>
  </w:style>
  <w:style w:type="paragraph" w:customStyle="1" w:styleId="TableBullet1">
    <w:name w:val="Table Bullet 1"/>
    <w:basedOn w:val="TableText-Left"/>
    <w:qFormat/>
    <w:rsid w:val="00B07591"/>
    <w:pPr>
      <w:numPr>
        <w:numId w:val="10"/>
      </w:numPr>
    </w:pPr>
    <w:rPr>
      <w:szCs w:val="20"/>
    </w:rPr>
  </w:style>
  <w:style w:type="paragraph" w:customStyle="1" w:styleId="TableBullet2">
    <w:name w:val="Table Bullet 2"/>
    <w:basedOn w:val="Normal"/>
    <w:qFormat/>
    <w:rsid w:val="00B07591"/>
    <w:pPr>
      <w:numPr>
        <w:ilvl w:val="1"/>
        <w:numId w:val="10"/>
      </w:numPr>
      <w:spacing w:before="60" w:after="60"/>
      <w:ind w:left="680" w:hanging="340"/>
      <w:contextualSpacing/>
    </w:pPr>
    <w:rPr>
      <w:szCs w:val="20"/>
    </w:rPr>
  </w:style>
  <w:style w:type="table" w:styleId="MediumGrid3-Accent5">
    <w:name w:val="Medium Grid 3 Accent 5"/>
    <w:basedOn w:val="TableNormal"/>
    <w:uiPriority w:val="69"/>
    <w:rsid w:val="001F5F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4D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525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525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525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525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A9A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A9AA" w:themeFill="accent5" w:themeFillTint="7F"/>
      </w:tcPr>
    </w:tblStylePr>
  </w:style>
  <w:style w:type="table" w:customStyle="1" w:styleId="WithoutHeader">
    <w:name w:val="Without Header"/>
    <w:basedOn w:val="MediumGrid3-Accent4"/>
    <w:uiPriority w:val="99"/>
    <w:rsid w:val="00803D6C"/>
    <w:tblPr/>
    <w:tcPr>
      <w:shd w:val="solid" w:color="E2DDF6" w:themeColor="text1" w:themeTint="1A" w:fill="DFD8E8"/>
    </w:tcPr>
    <w:tblStylePr w:type="firstRow">
      <w:rPr>
        <w:rFonts w:ascii="Arial Rounded MT Bold" w:hAnsi="Arial Rounded MT Bold"/>
        <w:b/>
        <w:bCs/>
        <w:i w:val="0"/>
        <w:iCs w:val="0"/>
        <w:color w:val="FFFFFF"/>
        <w:sz w:val="24"/>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solid" w:color="E2DDF6" w:themeColor="text1" w:themeTint="1A" w:fill="auto"/>
      </w:tcPr>
    </w:tblStylePr>
    <w:tblStylePr w:type="lastRow">
      <w:rPr>
        <w:rFonts w:asciiTheme="minorHAnsi" w:hAnsiTheme="minorHAnsi"/>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asciiTheme="minorHAnsi" w:hAnsiTheme="minorHAnsi"/>
      </w:rPr>
      <w:tblPr/>
      <w:tcPr>
        <w:tcBorders>
          <w:top w:val="single" w:sz="6" w:space="0" w:color="FFFFFF"/>
          <w:left w:val="single" w:sz="6" w:space="0" w:color="FFFFFF"/>
          <w:bottom w:val="single" w:sz="6" w:space="0" w:color="FFFFFF"/>
          <w:right w:val="single" w:sz="6" w:space="0" w:color="FFFFFF"/>
          <w:insideH w:val="single" w:sz="6" w:space="0" w:color="FFFFFF"/>
          <w:insideV w:val="single" w:sz="6" w:space="0" w:color="FFFFFF"/>
          <w:tl2br w:val="nil"/>
          <w:tr2bl w:val="nil"/>
        </w:tcBorders>
        <w:shd w:val="pct35" w:color="B8ACE8" w:themeColor="accent4" w:themeTint="40" w:fill="E5D4DF"/>
      </w:tcPr>
    </w:tblStylePr>
    <w:tblStylePr w:type="band2Horz">
      <w:rPr>
        <w:rFonts w:asciiTheme="minorHAnsi" w:hAnsiTheme="minorHAnsi"/>
      </w:rPr>
      <w:tblPr/>
      <w:tcPr>
        <w:tcBorders>
          <w:top w:val="single" w:sz="6" w:space="0" w:color="FFFFFF"/>
          <w:left w:val="single" w:sz="6" w:space="0" w:color="FFFFFF"/>
          <w:bottom w:val="single" w:sz="6" w:space="0" w:color="FFFFFF"/>
          <w:right w:val="single" w:sz="6" w:space="0" w:color="FFFFFF"/>
          <w:insideH w:val="single" w:sz="6" w:space="0" w:color="FFFFFF"/>
          <w:insideV w:val="single" w:sz="6" w:space="0" w:color="FFFFFF"/>
          <w:tl2br w:val="nil"/>
          <w:tr2bl w:val="nil"/>
        </w:tcBorders>
        <w:shd w:val="solid" w:color="E2DDF6" w:themeColor="text1" w:themeTint="1A" w:fill="D3BACF"/>
      </w:tcPr>
    </w:tblStylePr>
  </w:style>
  <w:style w:type="paragraph" w:styleId="Header">
    <w:name w:val="header"/>
    <w:basedOn w:val="Normal"/>
    <w:link w:val="HeaderChar"/>
    <w:uiPriority w:val="99"/>
    <w:rsid w:val="003349D8"/>
    <w:pPr>
      <w:tabs>
        <w:tab w:val="center" w:pos="4320"/>
        <w:tab w:val="right" w:pos="8640"/>
      </w:tabs>
      <w:spacing w:before="0" w:after="0"/>
    </w:pPr>
  </w:style>
  <w:style w:type="character" w:customStyle="1" w:styleId="HeaderChar">
    <w:name w:val="Header Char"/>
    <w:basedOn w:val="DefaultParagraphFont"/>
    <w:link w:val="Header"/>
    <w:uiPriority w:val="99"/>
    <w:rsid w:val="00673B5A"/>
    <w:rPr>
      <w:rFonts w:ascii="Arial" w:hAnsi="Arial"/>
      <w:sz w:val="22"/>
      <w:lang w:val="en-GB" w:eastAsia="en-US"/>
    </w:rPr>
  </w:style>
  <w:style w:type="paragraph" w:styleId="Footer">
    <w:name w:val="footer"/>
    <w:basedOn w:val="Normal"/>
    <w:link w:val="FooterChar"/>
    <w:uiPriority w:val="99"/>
    <w:rsid w:val="008F49D9"/>
    <w:pPr>
      <w:tabs>
        <w:tab w:val="center" w:pos="4680"/>
        <w:tab w:val="right" w:pos="9360"/>
      </w:tabs>
      <w:spacing w:before="0" w:after="0"/>
    </w:pPr>
    <w:rPr>
      <w:rFonts w:asciiTheme="minorHAnsi" w:eastAsiaTheme="minorHAnsi" w:hAnsiTheme="minorHAnsi" w:cstheme="minorBidi"/>
      <w:sz w:val="21"/>
      <w:szCs w:val="22"/>
      <w:lang w:val="en-US" w:eastAsia="ja-JP"/>
    </w:rPr>
  </w:style>
  <w:style w:type="character" w:customStyle="1" w:styleId="FooterChar">
    <w:name w:val="Footer Char"/>
    <w:basedOn w:val="DefaultParagraphFont"/>
    <w:link w:val="Footer"/>
    <w:uiPriority w:val="99"/>
    <w:rsid w:val="00673B5A"/>
    <w:rPr>
      <w:rFonts w:asciiTheme="minorHAnsi" w:eastAsiaTheme="minorHAnsi" w:hAnsiTheme="minorHAnsi" w:cstheme="minorBidi"/>
      <w:sz w:val="21"/>
      <w:szCs w:val="22"/>
    </w:rPr>
  </w:style>
  <w:style w:type="paragraph" w:styleId="ListBullet4">
    <w:name w:val="List Bullet 4"/>
    <w:basedOn w:val="BodyTextNormal"/>
    <w:uiPriority w:val="99"/>
    <w:qFormat/>
    <w:rsid w:val="00540872"/>
    <w:pPr>
      <w:numPr>
        <w:ilvl w:val="3"/>
        <w:numId w:val="11"/>
      </w:numPr>
      <w:ind w:left="2438" w:hanging="397"/>
    </w:pPr>
  </w:style>
  <w:style w:type="paragraph" w:styleId="ListBullet5">
    <w:name w:val="List Bullet 5"/>
    <w:basedOn w:val="BodyTextNormal"/>
    <w:uiPriority w:val="99"/>
    <w:qFormat/>
    <w:rsid w:val="00443F93"/>
    <w:pPr>
      <w:numPr>
        <w:ilvl w:val="4"/>
        <w:numId w:val="11"/>
      </w:numPr>
      <w:ind w:left="2438" w:hanging="397"/>
    </w:pPr>
  </w:style>
  <w:style w:type="table" w:styleId="LightList-Accent1">
    <w:name w:val="Light List Accent 1"/>
    <w:basedOn w:val="TableNormal"/>
    <w:uiPriority w:val="61"/>
    <w:rsid w:val="004B1BF7"/>
    <w:tblPr>
      <w:tblStyleRowBandSize w:val="1"/>
      <w:tblStyleColBandSize w:val="1"/>
      <w:tblBorders>
        <w:top w:val="single" w:sz="8" w:space="0" w:color="5C2071" w:themeColor="accent1"/>
        <w:left w:val="single" w:sz="8" w:space="0" w:color="5C2071" w:themeColor="accent1"/>
        <w:bottom w:val="single" w:sz="8" w:space="0" w:color="5C2071" w:themeColor="accent1"/>
        <w:right w:val="single" w:sz="8" w:space="0" w:color="5C2071" w:themeColor="accent1"/>
      </w:tblBorders>
    </w:tblPr>
    <w:tblStylePr w:type="firstRow">
      <w:pPr>
        <w:spacing w:before="0" w:after="0" w:line="240" w:lineRule="auto"/>
      </w:pPr>
      <w:rPr>
        <w:b/>
        <w:bCs/>
        <w:color w:val="FFFFFF" w:themeColor="background1"/>
      </w:rPr>
      <w:tblPr/>
      <w:tcPr>
        <w:shd w:val="clear" w:color="auto" w:fill="5C2071" w:themeFill="accent1"/>
      </w:tcPr>
    </w:tblStylePr>
    <w:tblStylePr w:type="lastRow">
      <w:pPr>
        <w:spacing w:before="0" w:after="0" w:line="240" w:lineRule="auto"/>
      </w:pPr>
      <w:rPr>
        <w:b/>
        <w:bCs/>
      </w:rPr>
      <w:tblPr/>
      <w:tcPr>
        <w:tcBorders>
          <w:top w:val="double" w:sz="6" w:space="0" w:color="5C2071" w:themeColor="accent1"/>
          <w:left w:val="single" w:sz="8" w:space="0" w:color="5C2071" w:themeColor="accent1"/>
          <w:bottom w:val="single" w:sz="8" w:space="0" w:color="5C2071" w:themeColor="accent1"/>
          <w:right w:val="single" w:sz="8" w:space="0" w:color="5C2071" w:themeColor="accent1"/>
        </w:tcBorders>
      </w:tcPr>
    </w:tblStylePr>
    <w:tblStylePr w:type="firstCol">
      <w:rPr>
        <w:b/>
        <w:bCs/>
      </w:rPr>
    </w:tblStylePr>
    <w:tblStylePr w:type="lastCol">
      <w:rPr>
        <w:b/>
        <w:bCs/>
      </w:rPr>
    </w:tblStylePr>
    <w:tblStylePr w:type="band1Vert">
      <w:tblPr/>
      <w:tcPr>
        <w:tcBorders>
          <w:top w:val="single" w:sz="8" w:space="0" w:color="5C2071" w:themeColor="accent1"/>
          <w:left w:val="single" w:sz="8" w:space="0" w:color="5C2071" w:themeColor="accent1"/>
          <w:bottom w:val="single" w:sz="8" w:space="0" w:color="5C2071" w:themeColor="accent1"/>
          <w:right w:val="single" w:sz="8" w:space="0" w:color="5C2071" w:themeColor="accent1"/>
        </w:tcBorders>
      </w:tcPr>
    </w:tblStylePr>
    <w:tblStylePr w:type="band1Horz">
      <w:tblPr/>
      <w:tcPr>
        <w:tcBorders>
          <w:top w:val="single" w:sz="8" w:space="0" w:color="5C2071" w:themeColor="accent1"/>
          <w:left w:val="single" w:sz="8" w:space="0" w:color="5C2071" w:themeColor="accent1"/>
          <w:bottom w:val="single" w:sz="8" w:space="0" w:color="5C2071" w:themeColor="accent1"/>
          <w:right w:val="single" w:sz="8" w:space="0" w:color="5C2071" w:themeColor="accent1"/>
        </w:tcBorders>
      </w:tcPr>
    </w:tblStylePr>
  </w:style>
  <w:style w:type="table" w:customStyle="1" w:styleId="TableTemplate1">
    <w:name w:val="Table Template 1"/>
    <w:basedOn w:val="TableNormal"/>
    <w:uiPriority w:val="99"/>
    <w:rsid w:val="000F49A2"/>
    <w:pPr>
      <w:spacing w:before="60" w:after="60"/>
    </w:pPr>
    <w:rPr>
      <w:rFonts w:ascii="Arial" w:hAnsi="Arial"/>
      <w:sz w:val="22"/>
    </w:rPr>
    <w:tblPr>
      <w:tblStyleColBandSize w:val="1"/>
      <w:tblBorders>
        <w:top w:val="single" w:sz="8" w:space="0" w:color="505253" w:themeColor="text2"/>
        <w:left w:val="single" w:sz="8" w:space="0" w:color="505253" w:themeColor="text2"/>
        <w:bottom w:val="single" w:sz="8" w:space="0" w:color="505253" w:themeColor="text2"/>
        <w:right w:val="single" w:sz="8" w:space="0" w:color="505253" w:themeColor="text2"/>
        <w:insideH w:val="single" w:sz="8" w:space="0" w:color="505253" w:themeColor="text2"/>
        <w:insideV w:val="single" w:sz="8" w:space="0" w:color="505253" w:themeColor="text2"/>
      </w:tblBorders>
    </w:tblPr>
    <w:tblStylePr w:type="firstRow">
      <w:pPr>
        <w:jc w:val="left"/>
      </w:pPr>
      <w:rPr>
        <w:rFonts w:asciiTheme="minorHAnsi" w:hAnsiTheme="minorHAnsi"/>
        <w:b/>
        <w:color w:val="FFFFFF" w:themeColor="background1"/>
        <w:sz w:val="24"/>
      </w:rPr>
      <w:tblPr/>
      <w:trPr>
        <w:cantSplit/>
        <w:tblHeader/>
      </w:trPr>
      <w:tcPr>
        <w:tcBorders>
          <w:bottom w:val="single" w:sz="4" w:space="0" w:color="9CA299" w:themeColor="background2"/>
        </w:tcBorders>
        <w:shd w:val="clear" w:color="auto" w:fill="5C2071" w:themeFill="accent1"/>
        <w:vAlign w:val="center"/>
      </w:tcPr>
    </w:tblStylePr>
    <w:tblStylePr w:type="firstCol">
      <w:rPr>
        <w:rFonts w:asciiTheme="minorHAnsi" w:hAnsiTheme="minorHAnsi"/>
        <w:b/>
        <w:color w:val="5C2071" w:themeColor="accent1"/>
        <w:sz w:val="24"/>
      </w:rPr>
    </w:tblStylePr>
  </w:style>
  <w:style w:type="table" w:customStyle="1" w:styleId="TableTemplate2">
    <w:name w:val="Table Template 2"/>
    <w:basedOn w:val="TableNormal"/>
    <w:uiPriority w:val="99"/>
    <w:rsid w:val="008C6F7F"/>
    <w:pPr>
      <w:spacing w:before="60" w:after="60"/>
    </w:pPr>
    <w:rPr>
      <w:rFonts w:ascii="Arial" w:hAnsi="Arial"/>
      <w:sz w:val="22"/>
    </w:rPr>
    <w:tblPr>
      <w:tblStyleRowBandSize w:val="1"/>
      <w:tblBorders>
        <w:insideH w:val="single" w:sz="4" w:space="0" w:color="9CA299" w:themeColor="background2"/>
        <w:insideV w:val="single" w:sz="4" w:space="0" w:color="9CA299" w:themeColor="background2"/>
      </w:tblBorders>
    </w:tblPr>
    <w:tcPr>
      <w:vAlign w:val="center"/>
    </w:tcPr>
    <w:tblStylePr w:type="firstRow">
      <w:pPr>
        <w:keepNext w:val="0"/>
        <w:keepLines w:val="0"/>
        <w:pageBreakBefore w:val="0"/>
        <w:widowControl w:val="0"/>
        <w:suppressLineNumbers w:val="0"/>
        <w:suppressAutoHyphens w:val="0"/>
        <w:wordWrap/>
        <w:spacing w:beforeLines="0" w:before="120" w:beforeAutospacing="0" w:afterLines="0" w:after="120" w:afterAutospacing="0" w:line="240" w:lineRule="auto"/>
        <w:contextualSpacing w:val="0"/>
        <w:jc w:val="left"/>
      </w:pPr>
      <w:rPr>
        <w:rFonts w:ascii="Yu Gothic Light" w:hAnsi="Yu Gothic Light"/>
        <w:b/>
        <w:color w:val="FFFFFF" w:themeColor="background1"/>
        <w:sz w:val="22"/>
      </w:rPr>
      <w:tblPr/>
      <w:trPr>
        <w:tblHeader/>
      </w:trPr>
      <w:tcPr>
        <w:tcBorders>
          <w:bottom w:val="single" w:sz="18" w:space="0" w:color="9CA299" w:themeColor="background2"/>
        </w:tcBorders>
        <w:shd w:val="clear" w:color="auto" w:fill="5C2071" w:themeFill="accent1"/>
      </w:tcPr>
    </w:tblStylePr>
    <w:tblStylePr w:type="firstCol">
      <w:rPr>
        <w:rFonts w:asciiTheme="minorHAnsi" w:hAnsiTheme="minorHAnsi"/>
        <w:b/>
        <w:color w:val="5C2071" w:themeColor="accent1"/>
        <w:sz w:val="22"/>
      </w:rPr>
    </w:tblStylePr>
    <w:tblStylePr w:type="band1Horz">
      <w:tblPr/>
      <w:tcPr>
        <w:shd w:val="clear" w:color="auto" w:fill="E5D4DF"/>
      </w:tcPr>
    </w:tblStylePr>
    <w:tblStylePr w:type="band2Horz">
      <w:tblPr/>
      <w:tcPr>
        <w:shd w:val="clear" w:color="auto" w:fill="D3BACF"/>
      </w:tcPr>
    </w:tblStylePr>
  </w:style>
  <w:style w:type="paragraph" w:customStyle="1" w:styleId="AppendixHeading">
    <w:name w:val="Appendix Heading"/>
    <w:basedOn w:val="Heading1"/>
    <w:next w:val="BodyTextNormal"/>
    <w:qFormat/>
    <w:rsid w:val="00B20ACD"/>
    <w:pPr>
      <w:numPr>
        <w:numId w:val="13"/>
      </w:numPr>
      <w:tabs>
        <w:tab w:val="left" w:pos="1701"/>
      </w:tabs>
    </w:pPr>
  </w:style>
  <w:style w:type="numbering" w:customStyle="1" w:styleId="Appendix">
    <w:name w:val="Appendix"/>
    <w:uiPriority w:val="99"/>
    <w:rsid w:val="00846A64"/>
    <w:pPr>
      <w:numPr>
        <w:numId w:val="12"/>
      </w:numPr>
    </w:pPr>
  </w:style>
  <w:style w:type="paragraph" w:customStyle="1" w:styleId="BodyTextBold">
    <w:name w:val="Body Text – Bold"/>
    <w:basedOn w:val="BodyTextNormal"/>
    <w:qFormat/>
    <w:rsid w:val="00443F93"/>
    <w:rPr>
      <w:b/>
      <w:bCs/>
    </w:rPr>
  </w:style>
  <w:style w:type="paragraph" w:customStyle="1" w:styleId="BodyTextItalic">
    <w:name w:val="Body Text – Italic"/>
    <w:basedOn w:val="BodyTextNormal"/>
    <w:qFormat/>
    <w:rsid w:val="00C510F2"/>
    <w:rPr>
      <w:i/>
      <w:iCs/>
    </w:rPr>
  </w:style>
  <w:style w:type="paragraph" w:customStyle="1" w:styleId="AppendixSubtitle">
    <w:name w:val="Appendix Subtitle"/>
    <w:basedOn w:val="AppendixHeading"/>
    <w:next w:val="BodyTextNormal"/>
    <w:qFormat/>
    <w:rsid w:val="00443F93"/>
    <w:pPr>
      <w:numPr>
        <w:numId w:val="0"/>
      </w:numPr>
    </w:pPr>
    <w:rPr>
      <w:sz w:val="28"/>
    </w:rPr>
  </w:style>
  <w:style w:type="paragraph" w:styleId="BlockText">
    <w:name w:val="Block Text"/>
    <w:basedOn w:val="Normal"/>
    <w:uiPriority w:val="99"/>
    <w:semiHidden/>
    <w:rsid w:val="00251828"/>
    <w:pPr>
      <w:pBdr>
        <w:top w:val="single" w:sz="2" w:space="10" w:color="5C2071" w:themeColor="accent1" w:shadow="1"/>
        <w:left w:val="single" w:sz="2" w:space="10" w:color="5C2071" w:themeColor="accent1" w:shadow="1"/>
        <w:bottom w:val="single" w:sz="2" w:space="10" w:color="5C2071" w:themeColor="accent1" w:shadow="1"/>
        <w:right w:val="single" w:sz="2" w:space="10" w:color="5C2071" w:themeColor="accent1" w:shadow="1"/>
      </w:pBdr>
      <w:ind w:left="1152" w:right="1152"/>
    </w:pPr>
    <w:rPr>
      <w:rFonts w:asciiTheme="minorHAnsi" w:hAnsiTheme="minorHAnsi" w:cstheme="minorBidi"/>
      <w:i/>
      <w:iCs/>
      <w:color w:val="5C2071" w:themeColor="accent1"/>
    </w:rPr>
  </w:style>
  <w:style w:type="paragraph" w:customStyle="1" w:styleId="BodytextSubtitle">
    <w:name w:val="Body text Subtitle"/>
    <w:basedOn w:val="CoverPageSubtext"/>
    <w:semiHidden/>
    <w:qFormat/>
    <w:rsid w:val="00E538B7"/>
    <w:pPr>
      <w:spacing w:before="240"/>
      <w:ind w:left="851"/>
    </w:pPr>
  </w:style>
  <w:style w:type="paragraph" w:customStyle="1" w:styleId="BodyTextNormal">
    <w:name w:val="Body Text – Normal"/>
    <w:basedOn w:val="Normal"/>
    <w:qFormat/>
    <w:rsid w:val="00581426"/>
    <w:pPr>
      <w:spacing w:line="264" w:lineRule="auto"/>
    </w:pPr>
  </w:style>
  <w:style w:type="character" w:styleId="FootnoteReference">
    <w:name w:val="footnote reference"/>
    <w:basedOn w:val="DefaultParagraphFont"/>
    <w:uiPriority w:val="99"/>
    <w:rsid w:val="00347A8F"/>
    <w:rPr>
      <w:vertAlign w:val="superscript"/>
    </w:rPr>
  </w:style>
  <w:style w:type="table" w:styleId="LightList-Accent2">
    <w:name w:val="Light List Accent 2"/>
    <w:basedOn w:val="TableNormal"/>
    <w:uiPriority w:val="61"/>
    <w:rsid w:val="00FC7897"/>
    <w:tblPr>
      <w:tblStyleRowBandSize w:val="1"/>
      <w:tblStyleColBandSize w:val="1"/>
      <w:tblBorders>
        <w:top w:val="single" w:sz="8" w:space="0" w:color="861889" w:themeColor="accent2"/>
        <w:left w:val="single" w:sz="8" w:space="0" w:color="861889" w:themeColor="accent2"/>
        <w:bottom w:val="single" w:sz="8" w:space="0" w:color="861889" w:themeColor="accent2"/>
        <w:right w:val="single" w:sz="8" w:space="0" w:color="861889" w:themeColor="accent2"/>
      </w:tblBorders>
    </w:tblPr>
    <w:tblStylePr w:type="firstRow">
      <w:pPr>
        <w:spacing w:before="0" w:after="0" w:line="240" w:lineRule="auto"/>
      </w:pPr>
      <w:rPr>
        <w:b/>
        <w:bCs/>
        <w:color w:val="FFFFFF" w:themeColor="background1"/>
      </w:rPr>
      <w:tblPr/>
      <w:tcPr>
        <w:shd w:val="clear" w:color="auto" w:fill="861889" w:themeFill="accent2"/>
      </w:tcPr>
    </w:tblStylePr>
    <w:tblStylePr w:type="lastRow">
      <w:pPr>
        <w:spacing w:before="0" w:after="0" w:line="240" w:lineRule="auto"/>
      </w:pPr>
      <w:rPr>
        <w:b/>
        <w:bCs/>
      </w:rPr>
      <w:tblPr/>
      <w:tcPr>
        <w:tcBorders>
          <w:top w:val="double" w:sz="6" w:space="0" w:color="861889" w:themeColor="accent2"/>
          <w:left w:val="single" w:sz="8" w:space="0" w:color="861889" w:themeColor="accent2"/>
          <w:bottom w:val="single" w:sz="8" w:space="0" w:color="861889" w:themeColor="accent2"/>
          <w:right w:val="single" w:sz="8" w:space="0" w:color="861889" w:themeColor="accent2"/>
        </w:tcBorders>
      </w:tcPr>
    </w:tblStylePr>
    <w:tblStylePr w:type="firstCol">
      <w:rPr>
        <w:b/>
        <w:bCs/>
      </w:rPr>
    </w:tblStylePr>
    <w:tblStylePr w:type="lastCol">
      <w:rPr>
        <w:b/>
        <w:bCs/>
      </w:rPr>
    </w:tblStylePr>
    <w:tblStylePr w:type="band1Vert">
      <w:tblPr/>
      <w:tcPr>
        <w:tcBorders>
          <w:top w:val="single" w:sz="8" w:space="0" w:color="861889" w:themeColor="accent2"/>
          <w:left w:val="single" w:sz="8" w:space="0" w:color="861889" w:themeColor="accent2"/>
          <w:bottom w:val="single" w:sz="8" w:space="0" w:color="861889" w:themeColor="accent2"/>
          <w:right w:val="single" w:sz="8" w:space="0" w:color="861889" w:themeColor="accent2"/>
        </w:tcBorders>
      </w:tcPr>
    </w:tblStylePr>
    <w:tblStylePr w:type="band1Horz">
      <w:tblPr/>
      <w:tcPr>
        <w:tcBorders>
          <w:top w:val="single" w:sz="8" w:space="0" w:color="861889" w:themeColor="accent2"/>
          <w:left w:val="single" w:sz="8" w:space="0" w:color="861889" w:themeColor="accent2"/>
          <w:bottom w:val="single" w:sz="8" w:space="0" w:color="861889" w:themeColor="accent2"/>
          <w:right w:val="single" w:sz="8" w:space="0" w:color="861889" w:themeColor="accent2"/>
        </w:tcBorders>
      </w:tcPr>
    </w:tblStylePr>
  </w:style>
  <w:style w:type="paragraph" w:customStyle="1" w:styleId="CoverPageSubtitle">
    <w:name w:val="Cover Page – Subtitle"/>
    <w:basedOn w:val="NormalWeb"/>
    <w:qFormat/>
    <w:rsid w:val="00443F93"/>
    <w:rPr>
      <w:rFonts w:asciiTheme="majorHAnsi" w:hAnsiTheme="majorHAnsi"/>
      <w:b/>
      <w:color w:val="5C2071" w:themeColor="accent1"/>
      <w:sz w:val="36"/>
    </w:rPr>
  </w:style>
  <w:style w:type="paragraph" w:styleId="NormalWeb">
    <w:name w:val="Normal (Web)"/>
    <w:basedOn w:val="Normal"/>
    <w:uiPriority w:val="99"/>
    <w:semiHidden/>
    <w:rsid w:val="0025074F"/>
    <w:rPr>
      <w:rFonts w:ascii="Times New Roman" w:hAnsi="Times New Roman"/>
      <w:sz w:val="24"/>
    </w:rPr>
  </w:style>
  <w:style w:type="paragraph" w:styleId="Bibliography">
    <w:name w:val="Bibliography"/>
    <w:basedOn w:val="Normal"/>
    <w:next w:val="Normal"/>
    <w:uiPriority w:val="37"/>
    <w:semiHidden/>
    <w:rsid w:val="00FF757F"/>
  </w:style>
  <w:style w:type="paragraph" w:styleId="BodyText">
    <w:name w:val="Body Text"/>
    <w:basedOn w:val="Normal"/>
    <w:link w:val="BodyTextChar"/>
    <w:uiPriority w:val="99"/>
    <w:semiHidden/>
    <w:rsid w:val="00FF757F"/>
    <w:pPr>
      <w:spacing w:after="120"/>
    </w:pPr>
  </w:style>
  <w:style w:type="character" w:customStyle="1" w:styleId="BodyTextChar">
    <w:name w:val="Body Text Char"/>
    <w:basedOn w:val="DefaultParagraphFont"/>
    <w:link w:val="BodyText"/>
    <w:uiPriority w:val="99"/>
    <w:semiHidden/>
    <w:rsid w:val="00FF757F"/>
    <w:rPr>
      <w:rFonts w:ascii="Arial" w:hAnsi="Arial"/>
      <w:sz w:val="22"/>
      <w:lang w:val="en-GB" w:eastAsia="en-US"/>
    </w:rPr>
  </w:style>
  <w:style w:type="paragraph" w:styleId="BodyText2">
    <w:name w:val="Body Text 2"/>
    <w:basedOn w:val="Normal"/>
    <w:link w:val="BodyText2Char"/>
    <w:uiPriority w:val="99"/>
    <w:semiHidden/>
    <w:rsid w:val="00FF757F"/>
    <w:pPr>
      <w:spacing w:after="120" w:line="480" w:lineRule="auto"/>
    </w:pPr>
  </w:style>
  <w:style w:type="character" w:customStyle="1" w:styleId="BodyText2Char">
    <w:name w:val="Body Text 2 Char"/>
    <w:basedOn w:val="DefaultParagraphFont"/>
    <w:link w:val="BodyText2"/>
    <w:uiPriority w:val="99"/>
    <w:semiHidden/>
    <w:rsid w:val="00FF757F"/>
    <w:rPr>
      <w:rFonts w:ascii="Arial" w:hAnsi="Arial"/>
      <w:sz w:val="22"/>
      <w:lang w:val="en-GB" w:eastAsia="en-US"/>
    </w:rPr>
  </w:style>
  <w:style w:type="paragraph" w:styleId="BodyText3">
    <w:name w:val="Body Text 3"/>
    <w:basedOn w:val="Normal"/>
    <w:link w:val="BodyText3Char"/>
    <w:uiPriority w:val="99"/>
    <w:semiHidden/>
    <w:rsid w:val="00FF757F"/>
    <w:pPr>
      <w:spacing w:after="120"/>
    </w:pPr>
    <w:rPr>
      <w:sz w:val="16"/>
      <w:szCs w:val="16"/>
    </w:rPr>
  </w:style>
  <w:style w:type="character" w:customStyle="1" w:styleId="BodyText3Char">
    <w:name w:val="Body Text 3 Char"/>
    <w:basedOn w:val="DefaultParagraphFont"/>
    <w:link w:val="BodyText3"/>
    <w:uiPriority w:val="99"/>
    <w:semiHidden/>
    <w:rsid w:val="00FF757F"/>
    <w:rPr>
      <w:rFonts w:ascii="Arial" w:hAnsi="Arial"/>
      <w:sz w:val="16"/>
      <w:szCs w:val="16"/>
      <w:lang w:val="en-GB" w:eastAsia="en-US"/>
    </w:rPr>
  </w:style>
  <w:style w:type="paragraph" w:styleId="BodyTextFirstIndent">
    <w:name w:val="Body Text First Indent"/>
    <w:basedOn w:val="BodyText"/>
    <w:link w:val="BodyTextFirstIndentChar"/>
    <w:uiPriority w:val="99"/>
    <w:semiHidden/>
    <w:rsid w:val="00FF757F"/>
    <w:pPr>
      <w:spacing w:after="240"/>
      <w:ind w:firstLine="360"/>
    </w:pPr>
  </w:style>
  <w:style w:type="character" w:customStyle="1" w:styleId="BodyTextFirstIndentChar">
    <w:name w:val="Body Text First Indent Char"/>
    <w:basedOn w:val="BodyTextChar"/>
    <w:link w:val="BodyTextFirstIndent"/>
    <w:uiPriority w:val="99"/>
    <w:semiHidden/>
    <w:rsid w:val="00FF757F"/>
    <w:rPr>
      <w:rFonts w:ascii="Arial" w:hAnsi="Arial"/>
      <w:sz w:val="22"/>
      <w:lang w:val="en-GB" w:eastAsia="en-US"/>
    </w:rPr>
  </w:style>
  <w:style w:type="paragraph" w:styleId="BodyTextIndent">
    <w:name w:val="Body Text Indent"/>
    <w:basedOn w:val="Normal"/>
    <w:link w:val="BodyTextIndentChar"/>
    <w:uiPriority w:val="99"/>
    <w:semiHidden/>
    <w:rsid w:val="00FF757F"/>
    <w:pPr>
      <w:spacing w:after="120"/>
      <w:ind w:left="283"/>
    </w:pPr>
  </w:style>
  <w:style w:type="character" w:customStyle="1" w:styleId="BodyTextIndentChar">
    <w:name w:val="Body Text Indent Char"/>
    <w:basedOn w:val="DefaultParagraphFont"/>
    <w:link w:val="BodyTextIndent"/>
    <w:uiPriority w:val="99"/>
    <w:semiHidden/>
    <w:rsid w:val="00FF757F"/>
    <w:rPr>
      <w:rFonts w:ascii="Arial" w:hAnsi="Arial"/>
      <w:sz w:val="22"/>
      <w:lang w:val="en-GB" w:eastAsia="en-US"/>
    </w:rPr>
  </w:style>
  <w:style w:type="paragraph" w:styleId="BodyTextFirstIndent2">
    <w:name w:val="Body Text First Indent 2"/>
    <w:basedOn w:val="BodyTextIndent"/>
    <w:link w:val="BodyTextFirstIndent2Char"/>
    <w:uiPriority w:val="99"/>
    <w:semiHidden/>
    <w:rsid w:val="00FF757F"/>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FF757F"/>
    <w:rPr>
      <w:rFonts w:ascii="Arial" w:hAnsi="Arial"/>
      <w:sz w:val="22"/>
      <w:lang w:val="en-GB" w:eastAsia="en-US"/>
    </w:rPr>
  </w:style>
  <w:style w:type="paragraph" w:styleId="BodyTextIndent2">
    <w:name w:val="Body Text Indent 2"/>
    <w:basedOn w:val="Normal"/>
    <w:link w:val="BodyTextIndent2Char"/>
    <w:uiPriority w:val="99"/>
    <w:semiHidden/>
    <w:rsid w:val="00FF757F"/>
    <w:pPr>
      <w:spacing w:after="120" w:line="480" w:lineRule="auto"/>
      <w:ind w:left="283"/>
    </w:pPr>
  </w:style>
  <w:style w:type="character" w:customStyle="1" w:styleId="BodyTextIndent2Char">
    <w:name w:val="Body Text Indent 2 Char"/>
    <w:basedOn w:val="DefaultParagraphFont"/>
    <w:link w:val="BodyTextIndent2"/>
    <w:uiPriority w:val="99"/>
    <w:semiHidden/>
    <w:rsid w:val="00FF757F"/>
    <w:rPr>
      <w:rFonts w:ascii="Arial" w:hAnsi="Arial"/>
      <w:sz w:val="22"/>
      <w:lang w:val="en-GB" w:eastAsia="en-US"/>
    </w:rPr>
  </w:style>
  <w:style w:type="paragraph" w:styleId="BodyTextIndent3">
    <w:name w:val="Body Text Indent 3"/>
    <w:basedOn w:val="Normal"/>
    <w:link w:val="BodyTextIndent3Char"/>
    <w:uiPriority w:val="99"/>
    <w:semiHidden/>
    <w:rsid w:val="00FF757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F757F"/>
    <w:rPr>
      <w:rFonts w:ascii="Arial" w:hAnsi="Arial"/>
      <w:sz w:val="16"/>
      <w:szCs w:val="16"/>
      <w:lang w:val="en-GB" w:eastAsia="en-US"/>
    </w:rPr>
  </w:style>
  <w:style w:type="paragraph" w:styleId="Closing">
    <w:name w:val="Closing"/>
    <w:basedOn w:val="Normal"/>
    <w:link w:val="ClosingChar"/>
    <w:uiPriority w:val="99"/>
    <w:semiHidden/>
    <w:rsid w:val="00FF757F"/>
    <w:pPr>
      <w:spacing w:before="0" w:after="0"/>
      <w:ind w:left="4252"/>
    </w:pPr>
  </w:style>
  <w:style w:type="character" w:customStyle="1" w:styleId="ClosingChar">
    <w:name w:val="Closing Char"/>
    <w:basedOn w:val="DefaultParagraphFont"/>
    <w:link w:val="Closing"/>
    <w:uiPriority w:val="99"/>
    <w:semiHidden/>
    <w:rsid w:val="00FF757F"/>
    <w:rPr>
      <w:rFonts w:ascii="Arial" w:hAnsi="Arial"/>
      <w:sz w:val="22"/>
      <w:lang w:val="en-GB" w:eastAsia="en-US"/>
    </w:rPr>
  </w:style>
  <w:style w:type="paragraph" w:styleId="CommentText">
    <w:name w:val="annotation text"/>
    <w:basedOn w:val="Normal"/>
    <w:link w:val="CommentTextChar"/>
    <w:uiPriority w:val="99"/>
    <w:rsid w:val="00FF757F"/>
    <w:rPr>
      <w:sz w:val="20"/>
      <w:szCs w:val="20"/>
    </w:rPr>
  </w:style>
  <w:style w:type="character" w:customStyle="1" w:styleId="CommentTextChar">
    <w:name w:val="Comment Text Char"/>
    <w:basedOn w:val="DefaultParagraphFont"/>
    <w:link w:val="CommentText"/>
    <w:uiPriority w:val="99"/>
    <w:rsid w:val="00FF757F"/>
    <w:rPr>
      <w:rFonts w:ascii="Arial" w:hAnsi="Arial"/>
      <w:sz w:val="20"/>
      <w:szCs w:val="20"/>
      <w:lang w:val="en-GB" w:eastAsia="en-US"/>
    </w:rPr>
  </w:style>
  <w:style w:type="paragraph" w:styleId="CommentSubject">
    <w:name w:val="annotation subject"/>
    <w:basedOn w:val="CommentText"/>
    <w:next w:val="CommentText"/>
    <w:link w:val="CommentSubjectChar"/>
    <w:uiPriority w:val="99"/>
    <w:semiHidden/>
    <w:rsid w:val="00FF757F"/>
    <w:rPr>
      <w:b/>
      <w:bCs/>
    </w:rPr>
  </w:style>
  <w:style w:type="character" w:customStyle="1" w:styleId="CommentSubjectChar">
    <w:name w:val="Comment Subject Char"/>
    <w:basedOn w:val="CommentTextChar"/>
    <w:link w:val="CommentSubject"/>
    <w:uiPriority w:val="99"/>
    <w:semiHidden/>
    <w:rsid w:val="00FF757F"/>
    <w:rPr>
      <w:rFonts w:ascii="Arial" w:hAnsi="Arial"/>
      <w:b/>
      <w:bCs/>
      <w:sz w:val="20"/>
      <w:szCs w:val="20"/>
      <w:lang w:val="en-GB" w:eastAsia="en-US"/>
    </w:rPr>
  </w:style>
  <w:style w:type="paragraph" w:styleId="Date">
    <w:name w:val="Date"/>
    <w:basedOn w:val="Normal"/>
    <w:next w:val="Normal"/>
    <w:link w:val="DateChar"/>
    <w:uiPriority w:val="99"/>
    <w:semiHidden/>
    <w:rsid w:val="00FF757F"/>
  </w:style>
  <w:style w:type="character" w:customStyle="1" w:styleId="DateChar">
    <w:name w:val="Date Char"/>
    <w:basedOn w:val="DefaultParagraphFont"/>
    <w:link w:val="Date"/>
    <w:uiPriority w:val="99"/>
    <w:semiHidden/>
    <w:rsid w:val="00FF757F"/>
    <w:rPr>
      <w:rFonts w:ascii="Arial" w:hAnsi="Arial"/>
      <w:sz w:val="22"/>
      <w:lang w:val="en-GB" w:eastAsia="en-US"/>
    </w:rPr>
  </w:style>
  <w:style w:type="paragraph" w:styleId="DocumentMap">
    <w:name w:val="Document Map"/>
    <w:basedOn w:val="Normal"/>
    <w:link w:val="DocumentMapChar"/>
    <w:uiPriority w:val="99"/>
    <w:semiHidden/>
    <w:rsid w:val="00FF757F"/>
    <w:pPr>
      <w:spacing w:before="0"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FF757F"/>
    <w:rPr>
      <w:rFonts w:ascii="Tahoma" w:hAnsi="Tahoma" w:cs="Tahoma"/>
      <w:sz w:val="16"/>
      <w:szCs w:val="16"/>
      <w:lang w:val="en-GB" w:eastAsia="en-US"/>
    </w:rPr>
  </w:style>
  <w:style w:type="paragraph" w:styleId="E-mailSignature">
    <w:name w:val="E-mail Signature"/>
    <w:basedOn w:val="Normal"/>
    <w:link w:val="E-mailSignatureChar"/>
    <w:uiPriority w:val="99"/>
    <w:semiHidden/>
    <w:rsid w:val="00FF757F"/>
    <w:pPr>
      <w:spacing w:before="0" w:after="0"/>
    </w:pPr>
  </w:style>
  <w:style w:type="character" w:customStyle="1" w:styleId="E-mailSignatureChar">
    <w:name w:val="E-mail Signature Char"/>
    <w:basedOn w:val="DefaultParagraphFont"/>
    <w:link w:val="E-mailSignature"/>
    <w:uiPriority w:val="99"/>
    <w:semiHidden/>
    <w:rsid w:val="00FF757F"/>
    <w:rPr>
      <w:rFonts w:ascii="Arial" w:hAnsi="Arial"/>
      <w:sz w:val="22"/>
      <w:lang w:val="en-GB" w:eastAsia="en-US"/>
    </w:rPr>
  </w:style>
  <w:style w:type="paragraph" w:styleId="EndnoteText">
    <w:name w:val="endnote text"/>
    <w:basedOn w:val="Normal"/>
    <w:link w:val="EndnoteTextChar"/>
    <w:uiPriority w:val="99"/>
    <w:semiHidden/>
    <w:rsid w:val="00FF757F"/>
    <w:pPr>
      <w:spacing w:before="0" w:after="0"/>
    </w:pPr>
    <w:rPr>
      <w:sz w:val="20"/>
      <w:szCs w:val="20"/>
    </w:rPr>
  </w:style>
  <w:style w:type="character" w:customStyle="1" w:styleId="EndnoteTextChar">
    <w:name w:val="Endnote Text Char"/>
    <w:basedOn w:val="DefaultParagraphFont"/>
    <w:link w:val="EndnoteText"/>
    <w:uiPriority w:val="99"/>
    <w:semiHidden/>
    <w:rsid w:val="00FF757F"/>
    <w:rPr>
      <w:rFonts w:ascii="Arial" w:hAnsi="Arial"/>
      <w:sz w:val="20"/>
      <w:szCs w:val="20"/>
      <w:lang w:val="en-GB" w:eastAsia="en-US"/>
    </w:rPr>
  </w:style>
  <w:style w:type="paragraph" w:styleId="EnvelopeAddress">
    <w:name w:val="envelope address"/>
    <w:basedOn w:val="Normal"/>
    <w:uiPriority w:val="99"/>
    <w:semiHidden/>
    <w:rsid w:val="00FF757F"/>
    <w:pPr>
      <w:framePr w:w="7920" w:h="1980" w:hRule="exact" w:hSpace="180" w:wrap="auto" w:hAnchor="page" w:xAlign="center" w:yAlign="bottom"/>
      <w:spacing w:before="0" w:after="0"/>
      <w:ind w:left="2880"/>
    </w:pPr>
    <w:rPr>
      <w:rFonts w:asciiTheme="majorHAnsi" w:eastAsiaTheme="majorEastAsia" w:hAnsiTheme="majorHAnsi" w:cstheme="majorBidi"/>
      <w:sz w:val="24"/>
    </w:rPr>
  </w:style>
  <w:style w:type="paragraph" w:styleId="EnvelopeReturn">
    <w:name w:val="envelope return"/>
    <w:basedOn w:val="Normal"/>
    <w:uiPriority w:val="99"/>
    <w:semiHidden/>
    <w:rsid w:val="00FF757F"/>
    <w:pPr>
      <w:spacing w:before="0" w:after="0"/>
    </w:pPr>
    <w:rPr>
      <w:rFonts w:asciiTheme="majorHAnsi" w:eastAsiaTheme="majorEastAsia" w:hAnsiTheme="majorHAnsi" w:cstheme="majorBidi"/>
      <w:sz w:val="20"/>
      <w:szCs w:val="20"/>
    </w:rPr>
  </w:style>
  <w:style w:type="paragraph" w:styleId="HTMLAddress">
    <w:name w:val="HTML Address"/>
    <w:basedOn w:val="Normal"/>
    <w:link w:val="HTMLAddressChar"/>
    <w:uiPriority w:val="99"/>
    <w:semiHidden/>
    <w:rsid w:val="00FF757F"/>
    <w:pPr>
      <w:spacing w:before="0" w:after="0"/>
    </w:pPr>
    <w:rPr>
      <w:i/>
      <w:iCs/>
    </w:rPr>
  </w:style>
  <w:style w:type="character" w:customStyle="1" w:styleId="HTMLAddressChar">
    <w:name w:val="HTML Address Char"/>
    <w:basedOn w:val="DefaultParagraphFont"/>
    <w:link w:val="HTMLAddress"/>
    <w:uiPriority w:val="99"/>
    <w:semiHidden/>
    <w:rsid w:val="00FF757F"/>
    <w:rPr>
      <w:rFonts w:ascii="Arial" w:hAnsi="Arial"/>
      <w:i/>
      <w:iCs/>
      <w:sz w:val="22"/>
      <w:lang w:val="en-GB" w:eastAsia="en-US"/>
    </w:rPr>
  </w:style>
  <w:style w:type="paragraph" w:styleId="HTMLPreformatted">
    <w:name w:val="HTML Preformatted"/>
    <w:basedOn w:val="Normal"/>
    <w:link w:val="HTMLPreformattedChar"/>
    <w:uiPriority w:val="99"/>
    <w:semiHidden/>
    <w:rsid w:val="00FF757F"/>
    <w:pPr>
      <w:spacing w:before="0" w:after="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F757F"/>
    <w:rPr>
      <w:rFonts w:ascii="Consolas" w:hAnsi="Consolas" w:cs="Consolas"/>
      <w:sz w:val="20"/>
      <w:szCs w:val="20"/>
      <w:lang w:val="en-GB" w:eastAsia="en-US"/>
    </w:rPr>
  </w:style>
  <w:style w:type="paragraph" w:styleId="Index1">
    <w:name w:val="index 1"/>
    <w:basedOn w:val="Normal"/>
    <w:next w:val="Normal"/>
    <w:uiPriority w:val="99"/>
    <w:semiHidden/>
    <w:rsid w:val="00FF757F"/>
    <w:pPr>
      <w:spacing w:before="0" w:after="0"/>
      <w:ind w:left="220" w:hanging="220"/>
    </w:pPr>
  </w:style>
  <w:style w:type="paragraph" w:styleId="Index2">
    <w:name w:val="index 2"/>
    <w:basedOn w:val="Normal"/>
    <w:next w:val="Normal"/>
    <w:uiPriority w:val="99"/>
    <w:semiHidden/>
    <w:rsid w:val="00FF757F"/>
    <w:pPr>
      <w:spacing w:before="0" w:after="0"/>
      <w:ind w:left="440" w:hanging="220"/>
    </w:pPr>
  </w:style>
  <w:style w:type="paragraph" w:styleId="Index3">
    <w:name w:val="index 3"/>
    <w:basedOn w:val="Normal"/>
    <w:next w:val="Normal"/>
    <w:uiPriority w:val="99"/>
    <w:semiHidden/>
    <w:rsid w:val="00FF757F"/>
    <w:pPr>
      <w:spacing w:before="0" w:after="0"/>
      <w:ind w:left="660" w:hanging="220"/>
    </w:pPr>
  </w:style>
  <w:style w:type="paragraph" w:styleId="Index4">
    <w:name w:val="index 4"/>
    <w:basedOn w:val="Normal"/>
    <w:next w:val="Normal"/>
    <w:uiPriority w:val="99"/>
    <w:semiHidden/>
    <w:rsid w:val="00FF757F"/>
    <w:pPr>
      <w:spacing w:before="0" w:after="0"/>
      <w:ind w:left="880" w:hanging="220"/>
    </w:pPr>
  </w:style>
  <w:style w:type="paragraph" w:styleId="Index5">
    <w:name w:val="index 5"/>
    <w:basedOn w:val="Normal"/>
    <w:next w:val="Normal"/>
    <w:uiPriority w:val="99"/>
    <w:semiHidden/>
    <w:rsid w:val="00FF757F"/>
    <w:pPr>
      <w:spacing w:before="0" w:after="0"/>
      <w:ind w:left="1100" w:hanging="220"/>
    </w:pPr>
  </w:style>
  <w:style w:type="paragraph" w:styleId="Index6">
    <w:name w:val="index 6"/>
    <w:basedOn w:val="Normal"/>
    <w:next w:val="Normal"/>
    <w:uiPriority w:val="99"/>
    <w:semiHidden/>
    <w:rsid w:val="00FF757F"/>
    <w:pPr>
      <w:spacing w:before="0" w:after="0"/>
      <w:ind w:left="1320" w:hanging="220"/>
    </w:pPr>
  </w:style>
  <w:style w:type="paragraph" w:styleId="Index7">
    <w:name w:val="index 7"/>
    <w:basedOn w:val="Normal"/>
    <w:next w:val="Normal"/>
    <w:uiPriority w:val="99"/>
    <w:semiHidden/>
    <w:rsid w:val="00FF757F"/>
    <w:pPr>
      <w:spacing w:before="0" w:after="0"/>
      <w:ind w:left="1540" w:hanging="220"/>
    </w:pPr>
  </w:style>
  <w:style w:type="paragraph" w:styleId="Index8">
    <w:name w:val="index 8"/>
    <w:basedOn w:val="Normal"/>
    <w:next w:val="Normal"/>
    <w:uiPriority w:val="99"/>
    <w:semiHidden/>
    <w:rsid w:val="00FF757F"/>
    <w:pPr>
      <w:spacing w:before="0" w:after="0"/>
      <w:ind w:left="1760" w:hanging="220"/>
    </w:pPr>
  </w:style>
  <w:style w:type="paragraph" w:styleId="Index9">
    <w:name w:val="index 9"/>
    <w:basedOn w:val="Normal"/>
    <w:next w:val="Normal"/>
    <w:uiPriority w:val="99"/>
    <w:semiHidden/>
    <w:rsid w:val="00FF757F"/>
    <w:pPr>
      <w:spacing w:before="0" w:after="0"/>
      <w:ind w:left="1980" w:hanging="220"/>
    </w:pPr>
  </w:style>
  <w:style w:type="paragraph" w:styleId="IndexHeading">
    <w:name w:val="index heading"/>
    <w:basedOn w:val="Normal"/>
    <w:next w:val="Index1"/>
    <w:uiPriority w:val="99"/>
    <w:semiHidden/>
    <w:rsid w:val="00FF757F"/>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qFormat/>
    <w:rsid w:val="00FF757F"/>
    <w:pPr>
      <w:pBdr>
        <w:bottom w:val="single" w:sz="4" w:space="4" w:color="5C2071" w:themeColor="accent1"/>
      </w:pBdr>
      <w:spacing w:before="200" w:after="280"/>
      <w:ind w:left="936" w:right="936"/>
    </w:pPr>
    <w:rPr>
      <w:b/>
      <w:bCs/>
      <w:i/>
      <w:iCs/>
      <w:color w:val="5C2071" w:themeColor="accent1"/>
    </w:rPr>
  </w:style>
  <w:style w:type="character" w:customStyle="1" w:styleId="IntenseQuoteChar">
    <w:name w:val="Intense Quote Char"/>
    <w:basedOn w:val="DefaultParagraphFont"/>
    <w:link w:val="IntenseQuote"/>
    <w:uiPriority w:val="30"/>
    <w:semiHidden/>
    <w:rsid w:val="00FF757F"/>
    <w:rPr>
      <w:rFonts w:ascii="Arial" w:hAnsi="Arial"/>
      <w:b/>
      <w:bCs/>
      <w:i/>
      <w:iCs/>
      <w:color w:val="5C2071" w:themeColor="accent1"/>
      <w:sz w:val="22"/>
      <w:lang w:val="en-GB" w:eastAsia="en-US"/>
    </w:rPr>
  </w:style>
  <w:style w:type="paragraph" w:styleId="List2">
    <w:name w:val="List 2"/>
    <w:basedOn w:val="Normal"/>
    <w:uiPriority w:val="99"/>
    <w:semiHidden/>
    <w:rsid w:val="00FF757F"/>
    <w:pPr>
      <w:ind w:left="566" w:hanging="283"/>
      <w:contextualSpacing/>
    </w:pPr>
  </w:style>
  <w:style w:type="paragraph" w:styleId="List3">
    <w:name w:val="List 3"/>
    <w:basedOn w:val="Normal"/>
    <w:uiPriority w:val="99"/>
    <w:semiHidden/>
    <w:rsid w:val="00FF757F"/>
    <w:pPr>
      <w:ind w:left="849" w:hanging="283"/>
      <w:contextualSpacing/>
    </w:pPr>
  </w:style>
  <w:style w:type="paragraph" w:styleId="List4">
    <w:name w:val="List 4"/>
    <w:basedOn w:val="Normal"/>
    <w:uiPriority w:val="99"/>
    <w:semiHidden/>
    <w:rsid w:val="00FF757F"/>
    <w:pPr>
      <w:ind w:left="1132" w:hanging="283"/>
      <w:contextualSpacing/>
    </w:pPr>
  </w:style>
  <w:style w:type="paragraph" w:styleId="List5">
    <w:name w:val="List 5"/>
    <w:basedOn w:val="Normal"/>
    <w:uiPriority w:val="99"/>
    <w:semiHidden/>
    <w:rsid w:val="00FF757F"/>
    <w:pPr>
      <w:ind w:left="1415" w:hanging="283"/>
      <w:contextualSpacing/>
    </w:pPr>
  </w:style>
  <w:style w:type="paragraph" w:styleId="ListContinue">
    <w:name w:val="List Continue"/>
    <w:basedOn w:val="Normal"/>
    <w:uiPriority w:val="99"/>
    <w:semiHidden/>
    <w:rsid w:val="00FF757F"/>
    <w:pPr>
      <w:spacing w:after="120"/>
      <w:ind w:left="283"/>
      <w:contextualSpacing/>
    </w:pPr>
  </w:style>
  <w:style w:type="paragraph" w:styleId="ListContinue2">
    <w:name w:val="List Continue 2"/>
    <w:basedOn w:val="Normal"/>
    <w:uiPriority w:val="99"/>
    <w:semiHidden/>
    <w:rsid w:val="00FF757F"/>
    <w:pPr>
      <w:spacing w:after="120"/>
      <w:ind w:left="566"/>
      <w:contextualSpacing/>
    </w:pPr>
  </w:style>
  <w:style w:type="paragraph" w:styleId="ListContinue3">
    <w:name w:val="List Continue 3"/>
    <w:basedOn w:val="Normal"/>
    <w:uiPriority w:val="99"/>
    <w:semiHidden/>
    <w:rsid w:val="00FF757F"/>
    <w:pPr>
      <w:spacing w:after="120"/>
      <w:ind w:left="849"/>
      <w:contextualSpacing/>
    </w:pPr>
  </w:style>
  <w:style w:type="paragraph" w:styleId="ListContinue4">
    <w:name w:val="List Continue 4"/>
    <w:basedOn w:val="Normal"/>
    <w:uiPriority w:val="99"/>
    <w:semiHidden/>
    <w:rsid w:val="00FF757F"/>
    <w:pPr>
      <w:spacing w:after="120"/>
      <w:ind w:left="1132"/>
      <w:contextualSpacing/>
    </w:pPr>
  </w:style>
  <w:style w:type="paragraph" w:styleId="ListContinue5">
    <w:name w:val="List Continue 5"/>
    <w:basedOn w:val="Normal"/>
    <w:uiPriority w:val="99"/>
    <w:semiHidden/>
    <w:rsid w:val="00FF757F"/>
    <w:pPr>
      <w:spacing w:after="120"/>
      <w:ind w:left="1415"/>
      <w:contextualSpacing/>
    </w:pPr>
  </w:style>
  <w:style w:type="paragraph" w:styleId="ListNumber4">
    <w:name w:val="List Number 4"/>
    <w:basedOn w:val="Normal"/>
    <w:uiPriority w:val="99"/>
    <w:semiHidden/>
    <w:rsid w:val="00FF757F"/>
    <w:pPr>
      <w:numPr>
        <w:numId w:val="1"/>
      </w:numPr>
      <w:contextualSpacing/>
    </w:pPr>
  </w:style>
  <w:style w:type="paragraph" w:styleId="ListNumber5">
    <w:name w:val="List Number 5"/>
    <w:basedOn w:val="Normal"/>
    <w:uiPriority w:val="99"/>
    <w:semiHidden/>
    <w:rsid w:val="00FF757F"/>
    <w:pPr>
      <w:numPr>
        <w:numId w:val="14"/>
      </w:numPr>
      <w:contextualSpacing/>
    </w:pPr>
  </w:style>
  <w:style w:type="paragraph" w:styleId="ListParagraph">
    <w:name w:val="List Paragraph"/>
    <w:basedOn w:val="Normal"/>
    <w:link w:val="ListParagraphChar"/>
    <w:uiPriority w:val="34"/>
    <w:qFormat/>
    <w:rsid w:val="00FF757F"/>
    <w:pPr>
      <w:ind w:left="720"/>
      <w:contextualSpacing/>
    </w:pPr>
  </w:style>
  <w:style w:type="paragraph" w:styleId="MacroText">
    <w:name w:val="macro"/>
    <w:link w:val="MacroTextChar"/>
    <w:uiPriority w:val="99"/>
    <w:semiHidden/>
    <w:rsid w:val="00FF757F"/>
    <w:pPr>
      <w:tabs>
        <w:tab w:val="left" w:pos="480"/>
        <w:tab w:val="left" w:pos="960"/>
        <w:tab w:val="left" w:pos="1440"/>
        <w:tab w:val="left" w:pos="1920"/>
        <w:tab w:val="left" w:pos="2400"/>
        <w:tab w:val="left" w:pos="2880"/>
        <w:tab w:val="left" w:pos="3360"/>
        <w:tab w:val="left" w:pos="3840"/>
        <w:tab w:val="left" w:pos="4320"/>
      </w:tabs>
      <w:spacing w:before="120"/>
    </w:pPr>
    <w:rPr>
      <w:rFonts w:ascii="Consolas" w:hAnsi="Consolas" w:cs="Consolas"/>
      <w:sz w:val="20"/>
      <w:szCs w:val="20"/>
      <w:lang w:val="en-GB" w:eastAsia="en-US"/>
    </w:rPr>
  </w:style>
  <w:style w:type="character" w:customStyle="1" w:styleId="MacroTextChar">
    <w:name w:val="Macro Text Char"/>
    <w:basedOn w:val="DefaultParagraphFont"/>
    <w:link w:val="MacroText"/>
    <w:uiPriority w:val="99"/>
    <w:semiHidden/>
    <w:rsid w:val="00FF757F"/>
    <w:rPr>
      <w:rFonts w:ascii="Consolas" w:hAnsi="Consolas" w:cs="Consolas"/>
      <w:sz w:val="20"/>
      <w:szCs w:val="20"/>
      <w:lang w:val="en-GB" w:eastAsia="en-US"/>
    </w:rPr>
  </w:style>
  <w:style w:type="paragraph" w:styleId="MessageHeader">
    <w:name w:val="Message Header"/>
    <w:basedOn w:val="Normal"/>
    <w:link w:val="MessageHeaderChar"/>
    <w:uiPriority w:val="99"/>
    <w:semiHidden/>
    <w:rsid w:val="00FF757F"/>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FF757F"/>
    <w:rPr>
      <w:rFonts w:asciiTheme="majorHAnsi" w:eastAsiaTheme="majorEastAsia" w:hAnsiTheme="majorHAnsi" w:cstheme="majorBidi"/>
      <w:shd w:val="pct20" w:color="auto" w:fill="auto"/>
      <w:lang w:val="en-GB" w:eastAsia="en-US"/>
    </w:rPr>
  </w:style>
  <w:style w:type="paragraph" w:styleId="NoSpacing">
    <w:name w:val="No Spacing"/>
    <w:link w:val="NoSpacingChar"/>
    <w:uiPriority w:val="1"/>
    <w:qFormat/>
    <w:rsid w:val="00FF757F"/>
    <w:rPr>
      <w:rFonts w:ascii="Arial" w:hAnsi="Arial"/>
      <w:sz w:val="22"/>
      <w:lang w:val="en-GB" w:eastAsia="en-US"/>
    </w:rPr>
  </w:style>
  <w:style w:type="paragraph" w:styleId="NormalIndent">
    <w:name w:val="Normal Indent"/>
    <w:basedOn w:val="Normal"/>
    <w:uiPriority w:val="99"/>
    <w:semiHidden/>
    <w:rsid w:val="00FF757F"/>
    <w:pPr>
      <w:ind w:left="720"/>
    </w:pPr>
  </w:style>
  <w:style w:type="paragraph" w:styleId="NoteHeading">
    <w:name w:val="Note Heading"/>
    <w:basedOn w:val="Normal"/>
    <w:next w:val="Normal"/>
    <w:link w:val="NoteHeadingChar"/>
    <w:uiPriority w:val="99"/>
    <w:semiHidden/>
    <w:rsid w:val="00FF757F"/>
    <w:pPr>
      <w:spacing w:before="0" w:after="0"/>
    </w:pPr>
  </w:style>
  <w:style w:type="character" w:customStyle="1" w:styleId="NoteHeadingChar">
    <w:name w:val="Note Heading Char"/>
    <w:basedOn w:val="DefaultParagraphFont"/>
    <w:link w:val="NoteHeading"/>
    <w:uiPriority w:val="99"/>
    <w:semiHidden/>
    <w:rsid w:val="00FF757F"/>
    <w:rPr>
      <w:rFonts w:ascii="Arial" w:hAnsi="Arial"/>
      <w:sz w:val="22"/>
      <w:lang w:val="en-GB" w:eastAsia="en-US"/>
    </w:rPr>
  </w:style>
  <w:style w:type="paragraph" w:styleId="PlainText">
    <w:name w:val="Plain Text"/>
    <w:basedOn w:val="Normal"/>
    <w:link w:val="PlainTextChar"/>
    <w:uiPriority w:val="99"/>
    <w:semiHidden/>
    <w:rsid w:val="00FF757F"/>
    <w:pPr>
      <w:spacing w:before="0" w:after="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F757F"/>
    <w:rPr>
      <w:rFonts w:ascii="Consolas" w:hAnsi="Consolas" w:cs="Consolas"/>
      <w:sz w:val="21"/>
      <w:szCs w:val="21"/>
      <w:lang w:val="en-GB" w:eastAsia="en-US"/>
    </w:rPr>
  </w:style>
  <w:style w:type="paragraph" w:styleId="Salutation">
    <w:name w:val="Salutation"/>
    <w:basedOn w:val="Normal"/>
    <w:next w:val="Normal"/>
    <w:link w:val="SalutationChar"/>
    <w:uiPriority w:val="99"/>
    <w:semiHidden/>
    <w:rsid w:val="00FF757F"/>
  </w:style>
  <w:style w:type="character" w:customStyle="1" w:styleId="SalutationChar">
    <w:name w:val="Salutation Char"/>
    <w:basedOn w:val="DefaultParagraphFont"/>
    <w:link w:val="Salutation"/>
    <w:uiPriority w:val="99"/>
    <w:semiHidden/>
    <w:rsid w:val="00FF757F"/>
    <w:rPr>
      <w:rFonts w:ascii="Arial" w:hAnsi="Arial"/>
      <w:sz w:val="22"/>
      <w:lang w:val="en-GB" w:eastAsia="en-US"/>
    </w:rPr>
  </w:style>
  <w:style w:type="paragraph" w:styleId="Signature">
    <w:name w:val="Signature"/>
    <w:basedOn w:val="Normal"/>
    <w:link w:val="SignatureChar"/>
    <w:uiPriority w:val="99"/>
    <w:semiHidden/>
    <w:rsid w:val="00FF757F"/>
    <w:pPr>
      <w:spacing w:before="0" w:after="0"/>
      <w:ind w:left="4252"/>
    </w:pPr>
  </w:style>
  <w:style w:type="character" w:customStyle="1" w:styleId="SignatureChar">
    <w:name w:val="Signature Char"/>
    <w:basedOn w:val="DefaultParagraphFont"/>
    <w:link w:val="Signature"/>
    <w:uiPriority w:val="99"/>
    <w:semiHidden/>
    <w:rsid w:val="00FF757F"/>
    <w:rPr>
      <w:rFonts w:ascii="Arial" w:hAnsi="Arial"/>
      <w:sz w:val="22"/>
      <w:lang w:val="en-GB" w:eastAsia="en-US"/>
    </w:rPr>
  </w:style>
  <w:style w:type="paragraph" w:styleId="Subtitle">
    <w:name w:val="Subtitle"/>
    <w:basedOn w:val="Normal"/>
    <w:next w:val="Normal"/>
    <w:link w:val="SubtitleChar"/>
    <w:uiPriority w:val="11"/>
    <w:semiHidden/>
    <w:qFormat/>
    <w:rsid w:val="00FF757F"/>
    <w:pPr>
      <w:numPr>
        <w:ilvl w:val="1"/>
      </w:numPr>
    </w:pPr>
    <w:rPr>
      <w:rFonts w:asciiTheme="majorHAnsi" w:eastAsiaTheme="majorEastAsia" w:hAnsiTheme="majorHAnsi" w:cstheme="majorBidi"/>
      <w:i/>
      <w:iCs/>
      <w:color w:val="5C2071" w:themeColor="accent1"/>
      <w:spacing w:val="15"/>
      <w:sz w:val="24"/>
    </w:rPr>
  </w:style>
  <w:style w:type="character" w:customStyle="1" w:styleId="SubtitleChar">
    <w:name w:val="Subtitle Char"/>
    <w:basedOn w:val="DefaultParagraphFont"/>
    <w:link w:val="Subtitle"/>
    <w:uiPriority w:val="11"/>
    <w:semiHidden/>
    <w:rsid w:val="00FF757F"/>
    <w:rPr>
      <w:rFonts w:asciiTheme="majorHAnsi" w:eastAsiaTheme="majorEastAsia" w:hAnsiTheme="majorHAnsi" w:cstheme="majorBidi"/>
      <w:i/>
      <w:iCs/>
      <w:color w:val="5C2071" w:themeColor="accent1"/>
      <w:spacing w:val="15"/>
      <w:lang w:val="en-GB" w:eastAsia="en-US"/>
    </w:rPr>
  </w:style>
  <w:style w:type="paragraph" w:styleId="TableofAuthorities">
    <w:name w:val="table of authorities"/>
    <w:basedOn w:val="Normal"/>
    <w:next w:val="Normal"/>
    <w:uiPriority w:val="99"/>
    <w:semiHidden/>
    <w:rsid w:val="00FF757F"/>
    <w:pPr>
      <w:spacing w:after="0"/>
      <w:ind w:left="220" w:hanging="220"/>
    </w:pPr>
  </w:style>
  <w:style w:type="paragraph" w:styleId="TableofFigures">
    <w:name w:val="table of figures"/>
    <w:basedOn w:val="Normal"/>
    <w:next w:val="Normal"/>
    <w:uiPriority w:val="99"/>
    <w:semiHidden/>
    <w:rsid w:val="00FF757F"/>
    <w:pPr>
      <w:spacing w:after="0"/>
    </w:pPr>
  </w:style>
  <w:style w:type="paragraph" w:styleId="Title">
    <w:name w:val="Title"/>
    <w:basedOn w:val="Normal"/>
    <w:next w:val="Normal"/>
    <w:link w:val="TitleChar"/>
    <w:uiPriority w:val="10"/>
    <w:semiHidden/>
    <w:qFormat/>
    <w:rsid w:val="00FF757F"/>
    <w:pPr>
      <w:pBdr>
        <w:bottom w:val="single" w:sz="8" w:space="4" w:color="5C2071" w:themeColor="accent1"/>
      </w:pBdr>
      <w:spacing w:before="0" w:after="300"/>
      <w:contextualSpacing/>
    </w:pPr>
    <w:rPr>
      <w:rFonts w:asciiTheme="majorHAnsi" w:eastAsiaTheme="majorEastAsia" w:hAnsiTheme="majorHAnsi" w:cstheme="majorBidi"/>
      <w:color w:val="3C3D3E" w:themeColor="text2" w:themeShade="BF"/>
      <w:spacing w:val="5"/>
      <w:kern w:val="28"/>
      <w:sz w:val="52"/>
      <w:szCs w:val="52"/>
    </w:rPr>
  </w:style>
  <w:style w:type="character" w:customStyle="1" w:styleId="TitleChar">
    <w:name w:val="Title Char"/>
    <w:basedOn w:val="DefaultParagraphFont"/>
    <w:link w:val="Title"/>
    <w:uiPriority w:val="10"/>
    <w:semiHidden/>
    <w:rsid w:val="00FF757F"/>
    <w:rPr>
      <w:rFonts w:asciiTheme="majorHAnsi" w:eastAsiaTheme="majorEastAsia" w:hAnsiTheme="majorHAnsi" w:cstheme="majorBidi"/>
      <w:color w:val="3C3D3E" w:themeColor="text2" w:themeShade="BF"/>
      <w:spacing w:val="5"/>
      <w:kern w:val="28"/>
      <w:sz w:val="52"/>
      <w:szCs w:val="52"/>
      <w:lang w:val="en-GB" w:eastAsia="en-US"/>
    </w:rPr>
  </w:style>
  <w:style w:type="paragraph" w:styleId="TOC4">
    <w:name w:val="toc 4"/>
    <w:basedOn w:val="Normal"/>
    <w:next w:val="Normal"/>
    <w:uiPriority w:val="39"/>
    <w:semiHidden/>
    <w:unhideWhenUsed/>
    <w:rsid w:val="00FF757F"/>
    <w:pPr>
      <w:spacing w:after="100"/>
      <w:ind w:left="660"/>
    </w:pPr>
  </w:style>
  <w:style w:type="paragraph" w:styleId="TOC5">
    <w:name w:val="toc 5"/>
    <w:basedOn w:val="Normal"/>
    <w:next w:val="Normal"/>
    <w:uiPriority w:val="39"/>
    <w:semiHidden/>
    <w:unhideWhenUsed/>
    <w:rsid w:val="00FF757F"/>
    <w:pPr>
      <w:spacing w:after="100"/>
      <w:ind w:left="880"/>
    </w:pPr>
  </w:style>
  <w:style w:type="paragraph" w:styleId="TOC6">
    <w:name w:val="toc 6"/>
    <w:basedOn w:val="Normal"/>
    <w:next w:val="Normal"/>
    <w:uiPriority w:val="39"/>
    <w:semiHidden/>
    <w:unhideWhenUsed/>
    <w:rsid w:val="00FF757F"/>
    <w:pPr>
      <w:spacing w:after="100"/>
      <w:ind w:left="1100"/>
    </w:pPr>
  </w:style>
  <w:style w:type="paragraph" w:styleId="TOC7">
    <w:name w:val="toc 7"/>
    <w:basedOn w:val="Normal"/>
    <w:next w:val="Normal"/>
    <w:uiPriority w:val="39"/>
    <w:semiHidden/>
    <w:unhideWhenUsed/>
    <w:rsid w:val="00FF757F"/>
    <w:pPr>
      <w:spacing w:after="100"/>
      <w:ind w:left="1320"/>
    </w:pPr>
  </w:style>
  <w:style w:type="paragraph" w:styleId="TOC8">
    <w:name w:val="toc 8"/>
    <w:basedOn w:val="Normal"/>
    <w:next w:val="Normal"/>
    <w:uiPriority w:val="39"/>
    <w:semiHidden/>
    <w:unhideWhenUsed/>
    <w:rsid w:val="00FF757F"/>
    <w:pPr>
      <w:spacing w:after="100"/>
      <w:ind w:left="1540"/>
    </w:pPr>
  </w:style>
  <w:style w:type="paragraph" w:styleId="TOC9">
    <w:name w:val="toc 9"/>
    <w:basedOn w:val="Normal"/>
    <w:next w:val="Normal"/>
    <w:uiPriority w:val="39"/>
    <w:semiHidden/>
    <w:unhideWhenUsed/>
    <w:rsid w:val="00FF757F"/>
    <w:pPr>
      <w:spacing w:after="100"/>
      <w:ind w:left="1760"/>
    </w:pPr>
  </w:style>
  <w:style w:type="paragraph" w:customStyle="1" w:styleId="SoS3">
    <w:name w:val="SoS3"/>
    <w:basedOn w:val="ListParagraph"/>
    <w:qFormat/>
    <w:rsid w:val="007D2211"/>
    <w:pPr>
      <w:numPr>
        <w:numId w:val="17"/>
      </w:numPr>
      <w:spacing w:before="0" w:after="200" w:line="276" w:lineRule="auto"/>
    </w:pPr>
    <w:rPr>
      <w:rFonts w:eastAsiaTheme="minorHAnsi" w:cs="Arial"/>
      <w:szCs w:val="22"/>
    </w:rPr>
  </w:style>
  <w:style w:type="paragraph" w:customStyle="1" w:styleId="SoS2">
    <w:name w:val="SoS2"/>
    <w:basedOn w:val="Heading3"/>
    <w:qFormat/>
    <w:rsid w:val="00DE422B"/>
    <w:pPr>
      <w:keepNext w:val="0"/>
      <w:numPr>
        <w:ilvl w:val="0"/>
        <w:numId w:val="0"/>
      </w:numPr>
      <w:ind w:left="851" w:hanging="851"/>
      <w:jc w:val="both"/>
    </w:pPr>
    <w:rPr>
      <w:rFonts w:ascii="Arial" w:hAnsi="Arial"/>
      <w:b w:val="0"/>
      <w:color w:val="auto"/>
      <w:sz w:val="22"/>
    </w:rPr>
  </w:style>
  <w:style w:type="character" w:styleId="CommentReference">
    <w:name w:val="annotation reference"/>
    <w:basedOn w:val="DefaultParagraphFont"/>
    <w:uiPriority w:val="99"/>
    <w:unhideWhenUsed/>
    <w:rsid w:val="005D515A"/>
    <w:rPr>
      <w:sz w:val="16"/>
      <w:szCs w:val="16"/>
    </w:rPr>
  </w:style>
  <w:style w:type="character" w:customStyle="1" w:styleId="NoSpacingChar">
    <w:name w:val="No Spacing Char"/>
    <w:basedOn w:val="DefaultParagraphFont"/>
    <w:link w:val="NoSpacing"/>
    <w:uiPriority w:val="1"/>
    <w:rsid w:val="005D515A"/>
    <w:rPr>
      <w:rFonts w:ascii="Arial" w:hAnsi="Arial"/>
      <w:sz w:val="22"/>
      <w:lang w:val="en-GB" w:eastAsia="en-US"/>
    </w:rPr>
  </w:style>
  <w:style w:type="paragraph" w:styleId="Revision">
    <w:name w:val="Revision"/>
    <w:hidden/>
    <w:uiPriority w:val="99"/>
    <w:semiHidden/>
    <w:rsid w:val="00AB6291"/>
    <w:rPr>
      <w:rFonts w:ascii="Arial" w:hAnsi="Arial"/>
      <w:sz w:val="22"/>
      <w:lang w:val="en-GB" w:eastAsia="en-US"/>
    </w:rPr>
  </w:style>
  <w:style w:type="character" w:customStyle="1" w:styleId="ListParagraphChar">
    <w:name w:val="List Paragraph Char"/>
    <w:link w:val="ListParagraph"/>
    <w:uiPriority w:val="34"/>
    <w:locked/>
    <w:rsid w:val="00D52006"/>
    <w:rPr>
      <w:rFonts w:ascii="Arial" w:hAnsi="Arial"/>
      <w:sz w:val="22"/>
      <w:lang w:val="en-GB" w:eastAsia="en-US"/>
    </w:rPr>
  </w:style>
  <w:style w:type="paragraph" w:customStyle="1" w:styleId="Default">
    <w:name w:val="Default"/>
    <w:rsid w:val="007B6F28"/>
    <w:pPr>
      <w:autoSpaceDE w:val="0"/>
      <w:autoSpaceDN w:val="0"/>
      <w:adjustRightInd w:val="0"/>
    </w:pPr>
    <w:rPr>
      <w:rFonts w:ascii="Arial" w:hAnsi="Arial" w:cs="Arial"/>
      <w:color w:val="000000"/>
      <w:lang w:val="en-GB"/>
    </w:rPr>
  </w:style>
  <w:style w:type="character" w:customStyle="1" w:styleId="sfpdf">
    <w:name w:val="sfpdf"/>
    <w:basedOn w:val="DefaultParagraphFont"/>
    <w:rsid w:val="00B05F73"/>
  </w:style>
  <w:style w:type="character" w:customStyle="1" w:styleId="effective">
    <w:name w:val="effective"/>
    <w:basedOn w:val="DefaultParagraphFont"/>
    <w:rsid w:val="00B05F73"/>
  </w:style>
  <w:style w:type="table" w:customStyle="1" w:styleId="DCC">
    <w:name w:val="DCC"/>
    <w:basedOn w:val="TableNormal"/>
    <w:uiPriority w:val="99"/>
    <w:rsid w:val="008C6F7F"/>
    <w:rPr>
      <w:rFonts w:asciiTheme="minorHAnsi" w:hAnsiTheme="minorHAnsi"/>
    </w:rPr>
    <w:tblPr>
      <w:tblStyleRowBandSize w:val="1"/>
    </w:tblPr>
    <w:tblStylePr w:type="firstRow">
      <w:rPr>
        <w:rFonts w:asciiTheme="majorHAnsi" w:hAnsiTheme="majorHAnsi"/>
        <w:b/>
      </w:rPr>
      <w:tblPr/>
      <w:tcPr>
        <w:shd w:val="clear" w:color="auto" w:fill="5C2071" w:themeFill="accent1"/>
      </w:tcPr>
    </w:tblStylePr>
    <w:tblStylePr w:type="band1Horz">
      <w:rPr>
        <w:rFonts w:asciiTheme="minorHAnsi" w:hAnsiTheme="minorHAnsi"/>
        <w:color w:val="auto"/>
      </w:rPr>
    </w:tblStylePr>
  </w:style>
  <w:style w:type="character" w:styleId="UnresolvedMention">
    <w:name w:val="Unresolved Mention"/>
    <w:basedOn w:val="DefaultParagraphFont"/>
    <w:uiPriority w:val="99"/>
    <w:semiHidden/>
    <w:unhideWhenUsed/>
    <w:rsid w:val="00B866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468540">
      <w:bodyDiv w:val="1"/>
      <w:marLeft w:val="0"/>
      <w:marRight w:val="0"/>
      <w:marTop w:val="0"/>
      <w:marBottom w:val="0"/>
      <w:divBdr>
        <w:top w:val="none" w:sz="0" w:space="0" w:color="auto"/>
        <w:left w:val="none" w:sz="0" w:space="0" w:color="auto"/>
        <w:bottom w:val="none" w:sz="0" w:space="0" w:color="auto"/>
        <w:right w:val="none" w:sz="0" w:space="0" w:color="auto"/>
      </w:divBdr>
    </w:div>
    <w:div w:id="127402786">
      <w:bodyDiv w:val="1"/>
      <w:marLeft w:val="0"/>
      <w:marRight w:val="0"/>
      <w:marTop w:val="0"/>
      <w:marBottom w:val="0"/>
      <w:divBdr>
        <w:top w:val="none" w:sz="0" w:space="0" w:color="auto"/>
        <w:left w:val="none" w:sz="0" w:space="0" w:color="auto"/>
        <w:bottom w:val="none" w:sz="0" w:space="0" w:color="auto"/>
        <w:right w:val="none" w:sz="0" w:space="0" w:color="auto"/>
      </w:divBdr>
    </w:div>
    <w:div w:id="155460275">
      <w:bodyDiv w:val="1"/>
      <w:marLeft w:val="0"/>
      <w:marRight w:val="0"/>
      <w:marTop w:val="0"/>
      <w:marBottom w:val="0"/>
      <w:divBdr>
        <w:top w:val="none" w:sz="0" w:space="0" w:color="auto"/>
        <w:left w:val="none" w:sz="0" w:space="0" w:color="auto"/>
        <w:bottom w:val="none" w:sz="0" w:space="0" w:color="auto"/>
        <w:right w:val="none" w:sz="0" w:space="0" w:color="auto"/>
      </w:divBdr>
      <w:divsChild>
        <w:div w:id="874193693">
          <w:marLeft w:val="562"/>
          <w:marRight w:val="0"/>
          <w:marTop w:val="86"/>
          <w:marBottom w:val="0"/>
          <w:divBdr>
            <w:top w:val="none" w:sz="0" w:space="0" w:color="auto"/>
            <w:left w:val="none" w:sz="0" w:space="0" w:color="auto"/>
            <w:bottom w:val="none" w:sz="0" w:space="0" w:color="auto"/>
            <w:right w:val="none" w:sz="0" w:space="0" w:color="auto"/>
          </w:divBdr>
        </w:div>
        <w:div w:id="444274881">
          <w:marLeft w:val="1138"/>
          <w:marRight w:val="0"/>
          <w:marTop w:val="86"/>
          <w:marBottom w:val="0"/>
          <w:divBdr>
            <w:top w:val="none" w:sz="0" w:space="0" w:color="auto"/>
            <w:left w:val="none" w:sz="0" w:space="0" w:color="auto"/>
            <w:bottom w:val="none" w:sz="0" w:space="0" w:color="auto"/>
            <w:right w:val="none" w:sz="0" w:space="0" w:color="auto"/>
          </w:divBdr>
        </w:div>
        <w:div w:id="528447155">
          <w:marLeft w:val="1138"/>
          <w:marRight w:val="0"/>
          <w:marTop w:val="86"/>
          <w:marBottom w:val="0"/>
          <w:divBdr>
            <w:top w:val="none" w:sz="0" w:space="0" w:color="auto"/>
            <w:left w:val="none" w:sz="0" w:space="0" w:color="auto"/>
            <w:bottom w:val="none" w:sz="0" w:space="0" w:color="auto"/>
            <w:right w:val="none" w:sz="0" w:space="0" w:color="auto"/>
          </w:divBdr>
        </w:div>
        <w:div w:id="1869173442">
          <w:marLeft w:val="1138"/>
          <w:marRight w:val="0"/>
          <w:marTop w:val="86"/>
          <w:marBottom w:val="0"/>
          <w:divBdr>
            <w:top w:val="none" w:sz="0" w:space="0" w:color="auto"/>
            <w:left w:val="none" w:sz="0" w:space="0" w:color="auto"/>
            <w:bottom w:val="none" w:sz="0" w:space="0" w:color="auto"/>
            <w:right w:val="none" w:sz="0" w:space="0" w:color="auto"/>
          </w:divBdr>
        </w:div>
        <w:div w:id="1691106565">
          <w:marLeft w:val="562"/>
          <w:marRight w:val="0"/>
          <w:marTop w:val="86"/>
          <w:marBottom w:val="0"/>
          <w:divBdr>
            <w:top w:val="none" w:sz="0" w:space="0" w:color="auto"/>
            <w:left w:val="none" w:sz="0" w:space="0" w:color="auto"/>
            <w:bottom w:val="none" w:sz="0" w:space="0" w:color="auto"/>
            <w:right w:val="none" w:sz="0" w:space="0" w:color="auto"/>
          </w:divBdr>
        </w:div>
      </w:divsChild>
    </w:div>
    <w:div w:id="189731475">
      <w:bodyDiv w:val="1"/>
      <w:marLeft w:val="0"/>
      <w:marRight w:val="0"/>
      <w:marTop w:val="0"/>
      <w:marBottom w:val="0"/>
      <w:divBdr>
        <w:top w:val="none" w:sz="0" w:space="0" w:color="auto"/>
        <w:left w:val="none" w:sz="0" w:space="0" w:color="auto"/>
        <w:bottom w:val="none" w:sz="0" w:space="0" w:color="auto"/>
        <w:right w:val="none" w:sz="0" w:space="0" w:color="auto"/>
      </w:divBdr>
    </w:div>
    <w:div w:id="192112585">
      <w:bodyDiv w:val="1"/>
      <w:marLeft w:val="0"/>
      <w:marRight w:val="0"/>
      <w:marTop w:val="0"/>
      <w:marBottom w:val="0"/>
      <w:divBdr>
        <w:top w:val="none" w:sz="0" w:space="0" w:color="auto"/>
        <w:left w:val="none" w:sz="0" w:space="0" w:color="auto"/>
        <w:bottom w:val="none" w:sz="0" w:space="0" w:color="auto"/>
        <w:right w:val="none" w:sz="0" w:space="0" w:color="auto"/>
      </w:divBdr>
    </w:div>
    <w:div w:id="205681406">
      <w:bodyDiv w:val="1"/>
      <w:marLeft w:val="0"/>
      <w:marRight w:val="0"/>
      <w:marTop w:val="0"/>
      <w:marBottom w:val="0"/>
      <w:divBdr>
        <w:top w:val="none" w:sz="0" w:space="0" w:color="auto"/>
        <w:left w:val="none" w:sz="0" w:space="0" w:color="auto"/>
        <w:bottom w:val="none" w:sz="0" w:space="0" w:color="auto"/>
        <w:right w:val="none" w:sz="0" w:space="0" w:color="auto"/>
      </w:divBdr>
    </w:div>
    <w:div w:id="221866486">
      <w:bodyDiv w:val="1"/>
      <w:marLeft w:val="0"/>
      <w:marRight w:val="0"/>
      <w:marTop w:val="0"/>
      <w:marBottom w:val="0"/>
      <w:divBdr>
        <w:top w:val="none" w:sz="0" w:space="0" w:color="auto"/>
        <w:left w:val="none" w:sz="0" w:space="0" w:color="auto"/>
        <w:bottom w:val="none" w:sz="0" w:space="0" w:color="auto"/>
        <w:right w:val="none" w:sz="0" w:space="0" w:color="auto"/>
      </w:divBdr>
    </w:div>
    <w:div w:id="234171450">
      <w:bodyDiv w:val="1"/>
      <w:marLeft w:val="0"/>
      <w:marRight w:val="0"/>
      <w:marTop w:val="0"/>
      <w:marBottom w:val="0"/>
      <w:divBdr>
        <w:top w:val="none" w:sz="0" w:space="0" w:color="auto"/>
        <w:left w:val="none" w:sz="0" w:space="0" w:color="auto"/>
        <w:bottom w:val="none" w:sz="0" w:space="0" w:color="auto"/>
        <w:right w:val="none" w:sz="0" w:space="0" w:color="auto"/>
      </w:divBdr>
    </w:div>
    <w:div w:id="236864015">
      <w:bodyDiv w:val="1"/>
      <w:marLeft w:val="0"/>
      <w:marRight w:val="0"/>
      <w:marTop w:val="0"/>
      <w:marBottom w:val="0"/>
      <w:divBdr>
        <w:top w:val="none" w:sz="0" w:space="0" w:color="auto"/>
        <w:left w:val="none" w:sz="0" w:space="0" w:color="auto"/>
        <w:bottom w:val="none" w:sz="0" w:space="0" w:color="auto"/>
        <w:right w:val="none" w:sz="0" w:space="0" w:color="auto"/>
      </w:divBdr>
    </w:div>
    <w:div w:id="250168922">
      <w:bodyDiv w:val="1"/>
      <w:marLeft w:val="0"/>
      <w:marRight w:val="0"/>
      <w:marTop w:val="0"/>
      <w:marBottom w:val="0"/>
      <w:divBdr>
        <w:top w:val="none" w:sz="0" w:space="0" w:color="auto"/>
        <w:left w:val="none" w:sz="0" w:space="0" w:color="auto"/>
        <w:bottom w:val="none" w:sz="0" w:space="0" w:color="auto"/>
        <w:right w:val="none" w:sz="0" w:space="0" w:color="auto"/>
      </w:divBdr>
    </w:div>
    <w:div w:id="266428221">
      <w:bodyDiv w:val="1"/>
      <w:marLeft w:val="0"/>
      <w:marRight w:val="0"/>
      <w:marTop w:val="0"/>
      <w:marBottom w:val="0"/>
      <w:divBdr>
        <w:top w:val="none" w:sz="0" w:space="0" w:color="auto"/>
        <w:left w:val="none" w:sz="0" w:space="0" w:color="auto"/>
        <w:bottom w:val="none" w:sz="0" w:space="0" w:color="auto"/>
        <w:right w:val="none" w:sz="0" w:space="0" w:color="auto"/>
      </w:divBdr>
    </w:div>
    <w:div w:id="299456342">
      <w:bodyDiv w:val="1"/>
      <w:marLeft w:val="0"/>
      <w:marRight w:val="0"/>
      <w:marTop w:val="0"/>
      <w:marBottom w:val="0"/>
      <w:divBdr>
        <w:top w:val="none" w:sz="0" w:space="0" w:color="auto"/>
        <w:left w:val="none" w:sz="0" w:space="0" w:color="auto"/>
        <w:bottom w:val="none" w:sz="0" w:space="0" w:color="auto"/>
        <w:right w:val="none" w:sz="0" w:space="0" w:color="auto"/>
      </w:divBdr>
    </w:div>
    <w:div w:id="320160715">
      <w:bodyDiv w:val="1"/>
      <w:marLeft w:val="0"/>
      <w:marRight w:val="0"/>
      <w:marTop w:val="0"/>
      <w:marBottom w:val="0"/>
      <w:divBdr>
        <w:top w:val="none" w:sz="0" w:space="0" w:color="auto"/>
        <w:left w:val="none" w:sz="0" w:space="0" w:color="auto"/>
        <w:bottom w:val="none" w:sz="0" w:space="0" w:color="auto"/>
        <w:right w:val="none" w:sz="0" w:space="0" w:color="auto"/>
      </w:divBdr>
    </w:div>
    <w:div w:id="324821658">
      <w:bodyDiv w:val="1"/>
      <w:marLeft w:val="0"/>
      <w:marRight w:val="0"/>
      <w:marTop w:val="0"/>
      <w:marBottom w:val="0"/>
      <w:divBdr>
        <w:top w:val="none" w:sz="0" w:space="0" w:color="auto"/>
        <w:left w:val="none" w:sz="0" w:space="0" w:color="auto"/>
        <w:bottom w:val="none" w:sz="0" w:space="0" w:color="auto"/>
        <w:right w:val="none" w:sz="0" w:space="0" w:color="auto"/>
      </w:divBdr>
    </w:div>
    <w:div w:id="328335951">
      <w:bodyDiv w:val="1"/>
      <w:marLeft w:val="0"/>
      <w:marRight w:val="0"/>
      <w:marTop w:val="0"/>
      <w:marBottom w:val="0"/>
      <w:divBdr>
        <w:top w:val="none" w:sz="0" w:space="0" w:color="auto"/>
        <w:left w:val="none" w:sz="0" w:space="0" w:color="auto"/>
        <w:bottom w:val="none" w:sz="0" w:space="0" w:color="auto"/>
        <w:right w:val="none" w:sz="0" w:space="0" w:color="auto"/>
      </w:divBdr>
    </w:div>
    <w:div w:id="341443438">
      <w:bodyDiv w:val="1"/>
      <w:marLeft w:val="0"/>
      <w:marRight w:val="0"/>
      <w:marTop w:val="0"/>
      <w:marBottom w:val="0"/>
      <w:divBdr>
        <w:top w:val="none" w:sz="0" w:space="0" w:color="auto"/>
        <w:left w:val="none" w:sz="0" w:space="0" w:color="auto"/>
        <w:bottom w:val="none" w:sz="0" w:space="0" w:color="auto"/>
        <w:right w:val="none" w:sz="0" w:space="0" w:color="auto"/>
      </w:divBdr>
    </w:div>
    <w:div w:id="350879810">
      <w:bodyDiv w:val="1"/>
      <w:marLeft w:val="0"/>
      <w:marRight w:val="0"/>
      <w:marTop w:val="0"/>
      <w:marBottom w:val="0"/>
      <w:divBdr>
        <w:top w:val="none" w:sz="0" w:space="0" w:color="auto"/>
        <w:left w:val="none" w:sz="0" w:space="0" w:color="auto"/>
        <w:bottom w:val="none" w:sz="0" w:space="0" w:color="auto"/>
        <w:right w:val="none" w:sz="0" w:space="0" w:color="auto"/>
      </w:divBdr>
    </w:div>
    <w:div w:id="356927068">
      <w:bodyDiv w:val="1"/>
      <w:marLeft w:val="0"/>
      <w:marRight w:val="0"/>
      <w:marTop w:val="0"/>
      <w:marBottom w:val="0"/>
      <w:divBdr>
        <w:top w:val="none" w:sz="0" w:space="0" w:color="auto"/>
        <w:left w:val="none" w:sz="0" w:space="0" w:color="auto"/>
        <w:bottom w:val="none" w:sz="0" w:space="0" w:color="auto"/>
        <w:right w:val="none" w:sz="0" w:space="0" w:color="auto"/>
      </w:divBdr>
      <w:divsChild>
        <w:div w:id="35858712">
          <w:marLeft w:val="0"/>
          <w:marRight w:val="0"/>
          <w:marTop w:val="0"/>
          <w:marBottom w:val="0"/>
          <w:divBdr>
            <w:top w:val="none" w:sz="0" w:space="0" w:color="auto"/>
            <w:left w:val="none" w:sz="0" w:space="0" w:color="auto"/>
            <w:bottom w:val="none" w:sz="0" w:space="0" w:color="auto"/>
            <w:right w:val="none" w:sz="0" w:space="0" w:color="auto"/>
          </w:divBdr>
          <w:divsChild>
            <w:div w:id="582909794">
              <w:marLeft w:val="0"/>
              <w:marRight w:val="0"/>
              <w:marTop w:val="0"/>
              <w:marBottom w:val="0"/>
              <w:divBdr>
                <w:top w:val="none" w:sz="0" w:space="0" w:color="auto"/>
                <w:left w:val="none" w:sz="0" w:space="0" w:color="auto"/>
                <w:bottom w:val="none" w:sz="0" w:space="0" w:color="auto"/>
                <w:right w:val="none" w:sz="0" w:space="0" w:color="auto"/>
              </w:divBdr>
              <w:divsChild>
                <w:div w:id="1036276566">
                  <w:marLeft w:val="0"/>
                  <w:marRight w:val="0"/>
                  <w:marTop w:val="0"/>
                  <w:marBottom w:val="0"/>
                  <w:divBdr>
                    <w:top w:val="none" w:sz="0" w:space="0" w:color="auto"/>
                    <w:left w:val="none" w:sz="0" w:space="0" w:color="auto"/>
                    <w:bottom w:val="none" w:sz="0" w:space="0" w:color="auto"/>
                    <w:right w:val="none" w:sz="0" w:space="0" w:color="auto"/>
                  </w:divBdr>
                  <w:divsChild>
                    <w:div w:id="1109349030">
                      <w:marLeft w:val="0"/>
                      <w:marRight w:val="0"/>
                      <w:marTop w:val="0"/>
                      <w:marBottom w:val="0"/>
                      <w:divBdr>
                        <w:top w:val="none" w:sz="0" w:space="0" w:color="auto"/>
                        <w:left w:val="none" w:sz="0" w:space="0" w:color="auto"/>
                        <w:bottom w:val="none" w:sz="0" w:space="0" w:color="auto"/>
                        <w:right w:val="none" w:sz="0" w:space="0" w:color="auto"/>
                      </w:divBdr>
                      <w:divsChild>
                        <w:div w:id="105348767">
                          <w:marLeft w:val="0"/>
                          <w:marRight w:val="0"/>
                          <w:marTop w:val="0"/>
                          <w:marBottom w:val="0"/>
                          <w:divBdr>
                            <w:top w:val="none" w:sz="0" w:space="0" w:color="auto"/>
                            <w:left w:val="none" w:sz="0" w:space="0" w:color="auto"/>
                            <w:bottom w:val="none" w:sz="0" w:space="0" w:color="auto"/>
                            <w:right w:val="none" w:sz="0" w:space="0" w:color="auto"/>
                          </w:divBdr>
                          <w:divsChild>
                            <w:div w:id="1100680913">
                              <w:marLeft w:val="0"/>
                              <w:marRight w:val="0"/>
                              <w:marTop w:val="0"/>
                              <w:marBottom w:val="0"/>
                              <w:divBdr>
                                <w:top w:val="none" w:sz="0" w:space="0" w:color="auto"/>
                                <w:left w:val="none" w:sz="0" w:space="0" w:color="auto"/>
                                <w:bottom w:val="none" w:sz="0" w:space="0" w:color="auto"/>
                                <w:right w:val="none" w:sz="0" w:space="0" w:color="auto"/>
                              </w:divBdr>
                              <w:divsChild>
                                <w:div w:id="2140026912">
                                  <w:marLeft w:val="0"/>
                                  <w:marRight w:val="0"/>
                                  <w:marTop w:val="0"/>
                                  <w:marBottom w:val="0"/>
                                  <w:divBdr>
                                    <w:top w:val="none" w:sz="0" w:space="0" w:color="auto"/>
                                    <w:left w:val="none" w:sz="0" w:space="0" w:color="auto"/>
                                    <w:bottom w:val="none" w:sz="0" w:space="0" w:color="auto"/>
                                    <w:right w:val="none" w:sz="0" w:space="0" w:color="auto"/>
                                  </w:divBdr>
                                  <w:divsChild>
                                    <w:div w:id="1235119942">
                                      <w:marLeft w:val="0"/>
                                      <w:marRight w:val="0"/>
                                      <w:marTop w:val="0"/>
                                      <w:marBottom w:val="0"/>
                                      <w:divBdr>
                                        <w:top w:val="none" w:sz="0" w:space="0" w:color="auto"/>
                                        <w:left w:val="none" w:sz="0" w:space="0" w:color="auto"/>
                                        <w:bottom w:val="none" w:sz="0" w:space="0" w:color="auto"/>
                                        <w:right w:val="none" w:sz="0" w:space="0" w:color="auto"/>
                                      </w:divBdr>
                                      <w:divsChild>
                                        <w:div w:id="1780954371">
                                          <w:marLeft w:val="0"/>
                                          <w:marRight w:val="0"/>
                                          <w:marTop w:val="225"/>
                                          <w:marBottom w:val="0"/>
                                          <w:divBdr>
                                            <w:top w:val="none" w:sz="0" w:space="0" w:color="auto"/>
                                            <w:left w:val="none" w:sz="0" w:space="0" w:color="auto"/>
                                            <w:bottom w:val="none" w:sz="0" w:space="0" w:color="auto"/>
                                            <w:right w:val="none" w:sz="0" w:space="0" w:color="auto"/>
                                          </w:divBdr>
                                          <w:divsChild>
                                            <w:div w:id="1361473453">
                                              <w:marLeft w:val="0"/>
                                              <w:marRight w:val="0"/>
                                              <w:marTop w:val="0"/>
                                              <w:marBottom w:val="0"/>
                                              <w:divBdr>
                                                <w:top w:val="none" w:sz="0" w:space="0" w:color="auto"/>
                                                <w:left w:val="none" w:sz="0" w:space="0" w:color="auto"/>
                                                <w:bottom w:val="none" w:sz="0" w:space="0" w:color="auto"/>
                                                <w:right w:val="none" w:sz="0" w:space="0" w:color="auto"/>
                                              </w:divBdr>
                                              <w:divsChild>
                                                <w:div w:id="1019240913">
                                                  <w:marLeft w:val="0"/>
                                                  <w:marRight w:val="0"/>
                                                  <w:marTop w:val="0"/>
                                                  <w:marBottom w:val="75"/>
                                                  <w:divBdr>
                                                    <w:top w:val="none" w:sz="0" w:space="0" w:color="auto"/>
                                                    <w:left w:val="none" w:sz="0" w:space="0" w:color="auto"/>
                                                    <w:bottom w:val="none" w:sz="0" w:space="0" w:color="auto"/>
                                                    <w:right w:val="none" w:sz="0" w:space="0" w:color="auto"/>
                                                  </w:divBdr>
                                                  <w:divsChild>
                                                    <w:div w:id="2006935534">
                                                      <w:marLeft w:val="-225"/>
                                                      <w:marRight w:val="-225"/>
                                                      <w:marTop w:val="0"/>
                                                      <w:marBottom w:val="0"/>
                                                      <w:divBdr>
                                                        <w:top w:val="none" w:sz="0" w:space="0" w:color="auto"/>
                                                        <w:left w:val="none" w:sz="0" w:space="0" w:color="auto"/>
                                                        <w:bottom w:val="none" w:sz="0" w:space="0" w:color="auto"/>
                                                        <w:right w:val="none" w:sz="0" w:space="0" w:color="auto"/>
                                                      </w:divBdr>
                                                      <w:divsChild>
                                                        <w:div w:id="9765271">
                                                          <w:marLeft w:val="0"/>
                                                          <w:marRight w:val="0"/>
                                                          <w:marTop w:val="0"/>
                                                          <w:marBottom w:val="0"/>
                                                          <w:divBdr>
                                                            <w:top w:val="none" w:sz="0" w:space="0" w:color="auto"/>
                                                            <w:left w:val="none" w:sz="0" w:space="0" w:color="auto"/>
                                                            <w:bottom w:val="none" w:sz="0" w:space="0" w:color="auto"/>
                                                            <w:right w:val="none" w:sz="0" w:space="0" w:color="auto"/>
                                                          </w:divBdr>
                                                        </w:div>
                                                        <w:div w:id="948781664">
                                                          <w:marLeft w:val="0"/>
                                                          <w:marRight w:val="0"/>
                                                          <w:marTop w:val="0"/>
                                                          <w:marBottom w:val="0"/>
                                                          <w:divBdr>
                                                            <w:top w:val="none" w:sz="0" w:space="0" w:color="auto"/>
                                                            <w:left w:val="none" w:sz="0" w:space="0" w:color="auto"/>
                                                            <w:bottom w:val="none" w:sz="0" w:space="0" w:color="auto"/>
                                                            <w:right w:val="none" w:sz="0" w:space="0" w:color="auto"/>
                                                          </w:divBdr>
                                                        </w:div>
                                                        <w:div w:id="186489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872402">
                                                  <w:marLeft w:val="0"/>
                                                  <w:marRight w:val="0"/>
                                                  <w:marTop w:val="0"/>
                                                  <w:marBottom w:val="75"/>
                                                  <w:divBdr>
                                                    <w:top w:val="none" w:sz="0" w:space="0" w:color="auto"/>
                                                    <w:left w:val="none" w:sz="0" w:space="0" w:color="auto"/>
                                                    <w:bottom w:val="none" w:sz="0" w:space="0" w:color="auto"/>
                                                    <w:right w:val="none" w:sz="0" w:space="0" w:color="auto"/>
                                                  </w:divBdr>
                                                  <w:divsChild>
                                                    <w:div w:id="1095327103">
                                                      <w:marLeft w:val="-225"/>
                                                      <w:marRight w:val="-225"/>
                                                      <w:marTop w:val="0"/>
                                                      <w:marBottom w:val="0"/>
                                                      <w:divBdr>
                                                        <w:top w:val="none" w:sz="0" w:space="0" w:color="auto"/>
                                                        <w:left w:val="none" w:sz="0" w:space="0" w:color="auto"/>
                                                        <w:bottom w:val="none" w:sz="0" w:space="0" w:color="auto"/>
                                                        <w:right w:val="none" w:sz="0" w:space="0" w:color="auto"/>
                                                      </w:divBdr>
                                                      <w:divsChild>
                                                        <w:div w:id="114461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57843616">
      <w:bodyDiv w:val="1"/>
      <w:marLeft w:val="0"/>
      <w:marRight w:val="0"/>
      <w:marTop w:val="0"/>
      <w:marBottom w:val="0"/>
      <w:divBdr>
        <w:top w:val="none" w:sz="0" w:space="0" w:color="auto"/>
        <w:left w:val="none" w:sz="0" w:space="0" w:color="auto"/>
        <w:bottom w:val="none" w:sz="0" w:space="0" w:color="auto"/>
        <w:right w:val="none" w:sz="0" w:space="0" w:color="auto"/>
      </w:divBdr>
    </w:div>
    <w:div w:id="528489948">
      <w:bodyDiv w:val="1"/>
      <w:marLeft w:val="0"/>
      <w:marRight w:val="0"/>
      <w:marTop w:val="0"/>
      <w:marBottom w:val="0"/>
      <w:divBdr>
        <w:top w:val="none" w:sz="0" w:space="0" w:color="auto"/>
        <w:left w:val="none" w:sz="0" w:space="0" w:color="auto"/>
        <w:bottom w:val="none" w:sz="0" w:space="0" w:color="auto"/>
        <w:right w:val="none" w:sz="0" w:space="0" w:color="auto"/>
      </w:divBdr>
    </w:div>
    <w:div w:id="552080159">
      <w:bodyDiv w:val="1"/>
      <w:marLeft w:val="0"/>
      <w:marRight w:val="0"/>
      <w:marTop w:val="0"/>
      <w:marBottom w:val="0"/>
      <w:divBdr>
        <w:top w:val="none" w:sz="0" w:space="0" w:color="auto"/>
        <w:left w:val="none" w:sz="0" w:space="0" w:color="auto"/>
        <w:bottom w:val="none" w:sz="0" w:space="0" w:color="auto"/>
        <w:right w:val="none" w:sz="0" w:space="0" w:color="auto"/>
      </w:divBdr>
    </w:div>
    <w:div w:id="577180574">
      <w:bodyDiv w:val="1"/>
      <w:marLeft w:val="0"/>
      <w:marRight w:val="0"/>
      <w:marTop w:val="0"/>
      <w:marBottom w:val="0"/>
      <w:divBdr>
        <w:top w:val="none" w:sz="0" w:space="0" w:color="auto"/>
        <w:left w:val="none" w:sz="0" w:space="0" w:color="auto"/>
        <w:bottom w:val="none" w:sz="0" w:space="0" w:color="auto"/>
        <w:right w:val="none" w:sz="0" w:space="0" w:color="auto"/>
      </w:divBdr>
    </w:div>
    <w:div w:id="578443094">
      <w:bodyDiv w:val="1"/>
      <w:marLeft w:val="0"/>
      <w:marRight w:val="0"/>
      <w:marTop w:val="0"/>
      <w:marBottom w:val="0"/>
      <w:divBdr>
        <w:top w:val="none" w:sz="0" w:space="0" w:color="auto"/>
        <w:left w:val="none" w:sz="0" w:space="0" w:color="auto"/>
        <w:bottom w:val="none" w:sz="0" w:space="0" w:color="auto"/>
        <w:right w:val="none" w:sz="0" w:space="0" w:color="auto"/>
      </w:divBdr>
    </w:div>
    <w:div w:id="610863033">
      <w:bodyDiv w:val="1"/>
      <w:marLeft w:val="0"/>
      <w:marRight w:val="0"/>
      <w:marTop w:val="0"/>
      <w:marBottom w:val="0"/>
      <w:divBdr>
        <w:top w:val="none" w:sz="0" w:space="0" w:color="auto"/>
        <w:left w:val="none" w:sz="0" w:space="0" w:color="auto"/>
        <w:bottom w:val="none" w:sz="0" w:space="0" w:color="auto"/>
        <w:right w:val="none" w:sz="0" w:space="0" w:color="auto"/>
      </w:divBdr>
    </w:div>
    <w:div w:id="737094256">
      <w:bodyDiv w:val="1"/>
      <w:marLeft w:val="0"/>
      <w:marRight w:val="0"/>
      <w:marTop w:val="0"/>
      <w:marBottom w:val="0"/>
      <w:divBdr>
        <w:top w:val="none" w:sz="0" w:space="0" w:color="auto"/>
        <w:left w:val="none" w:sz="0" w:space="0" w:color="auto"/>
        <w:bottom w:val="none" w:sz="0" w:space="0" w:color="auto"/>
        <w:right w:val="none" w:sz="0" w:space="0" w:color="auto"/>
      </w:divBdr>
    </w:div>
    <w:div w:id="743063537">
      <w:bodyDiv w:val="1"/>
      <w:marLeft w:val="0"/>
      <w:marRight w:val="0"/>
      <w:marTop w:val="0"/>
      <w:marBottom w:val="0"/>
      <w:divBdr>
        <w:top w:val="none" w:sz="0" w:space="0" w:color="auto"/>
        <w:left w:val="none" w:sz="0" w:space="0" w:color="auto"/>
        <w:bottom w:val="none" w:sz="0" w:space="0" w:color="auto"/>
        <w:right w:val="none" w:sz="0" w:space="0" w:color="auto"/>
      </w:divBdr>
    </w:div>
    <w:div w:id="752436873">
      <w:bodyDiv w:val="1"/>
      <w:marLeft w:val="0"/>
      <w:marRight w:val="0"/>
      <w:marTop w:val="0"/>
      <w:marBottom w:val="0"/>
      <w:divBdr>
        <w:top w:val="none" w:sz="0" w:space="0" w:color="auto"/>
        <w:left w:val="none" w:sz="0" w:space="0" w:color="auto"/>
        <w:bottom w:val="none" w:sz="0" w:space="0" w:color="auto"/>
        <w:right w:val="none" w:sz="0" w:space="0" w:color="auto"/>
      </w:divBdr>
      <w:divsChild>
        <w:div w:id="615646293">
          <w:marLeft w:val="547"/>
          <w:marRight w:val="0"/>
          <w:marTop w:val="91"/>
          <w:marBottom w:val="0"/>
          <w:divBdr>
            <w:top w:val="none" w:sz="0" w:space="0" w:color="auto"/>
            <w:left w:val="none" w:sz="0" w:space="0" w:color="auto"/>
            <w:bottom w:val="none" w:sz="0" w:space="0" w:color="auto"/>
            <w:right w:val="none" w:sz="0" w:space="0" w:color="auto"/>
          </w:divBdr>
        </w:div>
      </w:divsChild>
    </w:div>
    <w:div w:id="754789407">
      <w:bodyDiv w:val="1"/>
      <w:marLeft w:val="0"/>
      <w:marRight w:val="0"/>
      <w:marTop w:val="0"/>
      <w:marBottom w:val="0"/>
      <w:divBdr>
        <w:top w:val="none" w:sz="0" w:space="0" w:color="auto"/>
        <w:left w:val="none" w:sz="0" w:space="0" w:color="auto"/>
        <w:bottom w:val="none" w:sz="0" w:space="0" w:color="auto"/>
        <w:right w:val="none" w:sz="0" w:space="0" w:color="auto"/>
      </w:divBdr>
    </w:div>
    <w:div w:id="780228071">
      <w:bodyDiv w:val="1"/>
      <w:marLeft w:val="0"/>
      <w:marRight w:val="0"/>
      <w:marTop w:val="0"/>
      <w:marBottom w:val="0"/>
      <w:divBdr>
        <w:top w:val="none" w:sz="0" w:space="0" w:color="auto"/>
        <w:left w:val="none" w:sz="0" w:space="0" w:color="auto"/>
        <w:bottom w:val="none" w:sz="0" w:space="0" w:color="auto"/>
        <w:right w:val="none" w:sz="0" w:space="0" w:color="auto"/>
      </w:divBdr>
    </w:div>
    <w:div w:id="786855177">
      <w:bodyDiv w:val="1"/>
      <w:marLeft w:val="0"/>
      <w:marRight w:val="0"/>
      <w:marTop w:val="0"/>
      <w:marBottom w:val="0"/>
      <w:divBdr>
        <w:top w:val="none" w:sz="0" w:space="0" w:color="auto"/>
        <w:left w:val="none" w:sz="0" w:space="0" w:color="auto"/>
        <w:bottom w:val="none" w:sz="0" w:space="0" w:color="auto"/>
        <w:right w:val="none" w:sz="0" w:space="0" w:color="auto"/>
      </w:divBdr>
    </w:div>
    <w:div w:id="819686708">
      <w:bodyDiv w:val="1"/>
      <w:marLeft w:val="0"/>
      <w:marRight w:val="0"/>
      <w:marTop w:val="0"/>
      <w:marBottom w:val="0"/>
      <w:divBdr>
        <w:top w:val="none" w:sz="0" w:space="0" w:color="auto"/>
        <w:left w:val="none" w:sz="0" w:space="0" w:color="auto"/>
        <w:bottom w:val="none" w:sz="0" w:space="0" w:color="auto"/>
        <w:right w:val="none" w:sz="0" w:space="0" w:color="auto"/>
      </w:divBdr>
    </w:div>
    <w:div w:id="945380442">
      <w:bodyDiv w:val="1"/>
      <w:marLeft w:val="0"/>
      <w:marRight w:val="0"/>
      <w:marTop w:val="0"/>
      <w:marBottom w:val="0"/>
      <w:divBdr>
        <w:top w:val="none" w:sz="0" w:space="0" w:color="auto"/>
        <w:left w:val="none" w:sz="0" w:space="0" w:color="auto"/>
        <w:bottom w:val="none" w:sz="0" w:space="0" w:color="auto"/>
        <w:right w:val="none" w:sz="0" w:space="0" w:color="auto"/>
      </w:divBdr>
    </w:div>
    <w:div w:id="947664827">
      <w:bodyDiv w:val="1"/>
      <w:marLeft w:val="0"/>
      <w:marRight w:val="0"/>
      <w:marTop w:val="0"/>
      <w:marBottom w:val="0"/>
      <w:divBdr>
        <w:top w:val="none" w:sz="0" w:space="0" w:color="auto"/>
        <w:left w:val="none" w:sz="0" w:space="0" w:color="auto"/>
        <w:bottom w:val="none" w:sz="0" w:space="0" w:color="auto"/>
        <w:right w:val="none" w:sz="0" w:space="0" w:color="auto"/>
      </w:divBdr>
    </w:div>
    <w:div w:id="948392590">
      <w:bodyDiv w:val="1"/>
      <w:marLeft w:val="0"/>
      <w:marRight w:val="0"/>
      <w:marTop w:val="0"/>
      <w:marBottom w:val="0"/>
      <w:divBdr>
        <w:top w:val="none" w:sz="0" w:space="0" w:color="auto"/>
        <w:left w:val="none" w:sz="0" w:space="0" w:color="auto"/>
        <w:bottom w:val="none" w:sz="0" w:space="0" w:color="auto"/>
        <w:right w:val="none" w:sz="0" w:space="0" w:color="auto"/>
      </w:divBdr>
    </w:div>
    <w:div w:id="965476505">
      <w:bodyDiv w:val="1"/>
      <w:marLeft w:val="0"/>
      <w:marRight w:val="0"/>
      <w:marTop w:val="0"/>
      <w:marBottom w:val="0"/>
      <w:divBdr>
        <w:top w:val="none" w:sz="0" w:space="0" w:color="auto"/>
        <w:left w:val="none" w:sz="0" w:space="0" w:color="auto"/>
        <w:bottom w:val="none" w:sz="0" w:space="0" w:color="auto"/>
        <w:right w:val="none" w:sz="0" w:space="0" w:color="auto"/>
      </w:divBdr>
    </w:div>
    <w:div w:id="989600461">
      <w:bodyDiv w:val="1"/>
      <w:marLeft w:val="0"/>
      <w:marRight w:val="0"/>
      <w:marTop w:val="0"/>
      <w:marBottom w:val="0"/>
      <w:divBdr>
        <w:top w:val="none" w:sz="0" w:space="0" w:color="auto"/>
        <w:left w:val="none" w:sz="0" w:space="0" w:color="auto"/>
        <w:bottom w:val="none" w:sz="0" w:space="0" w:color="auto"/>
        <w:right w:val="none" w:sz="0" w:space="0" w:color="auto"/>
      </w:divBdr>
    </w:div>
    <w:div w:id="1020165167">
      <w:bodyDiv w:val="1"/>
      <w:marLeft w:val="0"/>
      <w:marRight w:val="0"/>
      <w:marTop w:val="0"/>
      <w:marBottom w:val="0"/>
      <w:divBdr>
        <w:top w:val="none" w:sz="0" w:space="0" w:color="auto"/>
        <w:left w:val="none" w:sz="0" w:space="0" w:color="auto"/>
        <w:bottom w:val="none" w:sz="0" w:space="0" w:color="auto"/>
        <w:right w:val="none" w:sz="0" w:space="0" w:color="auto"/>
      </w:divBdr>
    </w:div>
    <w:div w:id="1024358442">
      <w:bodyDiv w:val="1"/>
      <w:marLeft w:val="0"/>
      <w:marRight w:val="0"/>
      <w:marTop w:val="0"/>
      <w:marBottom w:val="0"/>
      <w:divBdr>
        <w:top w:val="none" w:sz="0" w:space="0" w:color="auto"/>
        <w:left w:val="none" w:sz="0" w:space="0" w:color="auto"/>
        <w:bottom w:val="none" w:sz="0" w:space="0" w:color="auto"/>
        <w:right w:val="none" w:sz="0" w:space="0" w:color="auto"/>
      </w:divBdr>
    </w:div>
    <w:div w:id="1118059920">
      <w:bodyDiv w:val="1"/>
      <w:marLeft w:val="0"/>
      <w:marRight w:val="0"/>
      <w:marTop w:val="0"/>
      <w:marBottom w:val="0"/>
      <w:divBdr>
        <w:top w:val="none" w:sz="0" w:space="0" w:color="auto"/>
        <w:left w:val="none" w:sz="0" w:space="0" w:color="auto"/>
        <w:bottom w:val="none" w:sz="0" w:space="0" w:color="auto"/>
        <w:right w:val="none" w:sz="0" w:space="0" w:color="auto"/>
      </w:divBdr>
    </w:div>
    <w:div w:id="1118060765">
      <w:bodyDiv w:val="1"/>
      <w:marLeft w:val="0"/>
      <w:marRight w:val="0"/>
      <w:marTop w:val="0"/>
      <w:marBottom w:val="0"/>
      <w:divBdr>
        <w:top w:val="none" w:sz="0" w:space="0" w:color="auto"/>
        <w:left w:val="none" w:sz="0" w:space="0" w:color="auto"/>
        <w:bottom w:val="none" w:sz="0" w:space="0" w:color="auto"/>
        <w:right w:val="none" w:sz="0" w:space="0" w:color="auto"/>
      </w:divBdr>
    </w:div>
    <w:div w:id="1150486867">
      <w:bodyDiv w:val="1"/>
      <w:marLeft w:val="0"/>
      <w:marRight w:val="0"/>
      <w:marTop w:val="0"/>
      <w:marBottom w:val="0"/>
      <w:divBdr>
        <w:top w:val="none" w:sz="0" w:space="0" w:color="auto"/>
        <w:left w:val="none" w:sz="0" w:space="0" w:color="auto"/>
        <w:bottom w:val="none" w:sz="0" w:space="0" w:color="auto"/>
        <w:right w:val="none" w:sz="0" w:space="0" w:color="auto"/>
      </w:divBdr>
    </w:div>
    <w:div w:id="1179351521">
      <w:bodyDiv w:val="1"/>
      <w:marLeft w:val="0"/>
      <w:marRight w:val="0"/>
      <w:marTop w:val="0"/>
      <w:marBottom w:val="0"/>
      <w:divBdr>
        <w:top w:val="none" w:sz="0" w:space="0" w:color="auto"/>
        <w:left w:val="none" w:sz="0" w:space="0" w:color="auto"/>
        <w:bottom w:val="none" w:sz="0" w:space="0" w:color="auto"/>
        <w:right w:val="none" w:sz="0" w:space="0" w:color="auto"/>
      </w:divBdr>
    </w:div>
    <w:div w:id="1196312363">
      <w:bodyDiv w:val="1"/>
      <w:marLeft w:val="0"/>
      <w:marRight w:val="0"/>
      <w:marTop w:val="0"/>
      <w:marBottom w:val="0"/>
      <w:divBdr>
        <w:top w:val="none" w:sz="0" w:space="0" w:color="auto"/>
        <w:left w:val="none" w:sz="0" w:space="0" w:color="auto"/>
        <w:bottom w:val="none" w:sz="0" w:space="0" w:color="auto"/>
        <w:right w:val="none" w:sz="0" w:space="0" w:color="auto"/>
      </w:divBdr>
    </w:div>
    <w:div w:id="1199705781">
      <w:bodyDiv w:val="1"/>
      <w:marLeft w:val="0"/>
      <w:marRight w:val="0"/>
      <w:marTop w:val="0"/>
      <w:marBottom w:val="0"/>
      <w:divBdr>
        <w:top w:val="none" w:sz="0" w:space="0" w:color="auto"/>
        <w:left w:val="none" w:sz="0" w:space="0" w:color="auto"/>
        <w:bottom w:val="none" w:sz="0" w:space="0" w:color="auto"/>
        <w:right w:val="none" w:sz="0" w:space="0" w:color="auto"/>
      </w:divBdr>
    </w:div>
    <w:div w:id="1226334488">
      <w:bodyDiv w:val="1"/>
      <w:marLeft w:val="0"/>
      <w:marRight w:val="0"/>
      <w:marTop w:val="0"/>
      <w:marBottom w:val="0"/>
      <w:divBdr>
        <w:top w:val="none" w:sz="0" w:space="0" w:color="auto"/>
        <w:left w:val="none" w:sz="0" w:space="0" w:color="auto"/>
        <w:bottom w:val="none" w:sz="0" w:space="0" w:color="auto"/>
        <w:right w:val="none" w:sz="0" w:space="0" w:color="auto"/>
      </w:divBdr>
    </w:div>
    <w:div w:id="1245184591">
      <w:bodyDiv w:val="1"/>
      <w:marLeft w:val="0"/>
      <w:marRight w:val="0"/>
      <w:marTop w:val="0"/>
      <w:marBottom w:val="0"/>
      <w:divBdr>
        <w:top w:val="none" w:sz="0" w:space="0" w:color="auto"/>
        <w:left w:val="none" w:sz="0" w:space="0" w:color="auto"/>
        <w:bottom w:val="none" w:sz="0" w:space="0" w:color="auto"/>
        <w:right w:val="none" w:sz="0" w:space="0" w:color="auto"/>
      </w:divBdr>
    </w:div>
    <w:div w:id="1267540089">
      <w:bodyDiv w:val="1"/>
      <w:marLeft w:val="0"/>
      <w:marRight w:val="0"/>
      <w:marTop w:val="0"/>
      <w:marBottom w:val="0"/>
      <w:divBdr>
        <w:top w:val="none" w:sz="0" w:space="0" w:color="auto"/>
        <w:left w:val="none" w:sz="0" w:space="0" w:color="auto"/>
        <w:bottom w:val="none" w:sz="0" w:space="0" w:color="auto"/>
        <w:right w:val="none" w:sz="0" w:space="0" w:color="auto"/>
      </w:divBdr>
    </w:div>
    <w:div w:id="1277523240">
      <w:bodyDiv w:val="1"/>
      <w:marLeft w:val="0"/>
      <w:marRight w:val="0"/>
      <w:marTop w:val="0"/>
      <w:marBottom w:val="0"/>
      <w:divBdr>
        <w:top w:val="none" w:sz="0" w:space="0" w:color="auto"/>
        <w:left w:val="none" w:sz="0" w:space="0" w:color="auto"/>
        <w:bottom w:val="none" w:sz="0" w:space="0" w:color="auto"/>
        <w:right w:val="none" w:sz="0" w:space="0" w:color="auto"/>
      </w:divBdr>
    </w:div>
    <w:div w:id="1344699669">
      <w:bodyDiv w:val="1"/>
      <w:marLeft w:val="0"/>
      <w:marRight w:val="0"/>
      <w:marTop w:val="0"/>
      <w:marBottom w:val="0"/>
      <w:divBdr>
        <w:top w:val="none" w:sz="0" w:space="0" w:color="auto"/>
        <w:left w:val="none" w:sz="0" w:space="0" w:color="auto"/>
        <w:bottom w:val="none" w:sz="0" w:space="0" w:color="auto"/>
        <w:right w:val="none" w:sz="0" w:space="0" w:color="auto"/>
      </w:divBdr>
    </w:div>
    <w:div w:id="1391417581">
      <w:bodyDiv w:val="1"/>
      <w:marLeft w:val="0"/>
      <w:marRight w:val="0"/>
      <w:marTop w:val="0"/>
      <w:marBottom w:val="0"/>
      <w:divBdr>
        <w:top w:val="none" w:sz="0" w:space="0" w:color="auto"/>
        <w:left w:val="none" w:sz="0" w:space="0" w:color="auto"/>
        <w:bottom w:val="none" w:sz="0" w:space="0" w:color="auto"/>
        <w:right w:val="none" w:sz="0" w:space="0" w:color="auto"/>
      </w:divBdr>
    </w:div>
    <w:div w:id="1412855159">
      <w:bodyDiv w:val="1"/>
      <w:marLeft w:val="0"/>
      <w:marRight w:val="0"/>
      <w:marTop w:val="0"/>
      <w:marBottom w:val="0"/>
      <w:divBdr>
        <w:top w:val="none" w:sz="0" w:space="0" w:color="auto"/>
        <w:left w:val="none" w:sz="0" w:space="0" w:color="auto"/>
        <w:bottom w:val="none" w:sz="0" w:space="0" w:color="auto"/>
        <w:right w:val="none" w:sz="0" w:space="0" w:color="auto"/>
      </w:divBdr>
    </w:div>
    <w:div w:id="1448963385">
      <w:bodyDiv w:val="1"/>
      <w:marLeft w:val="0"/>
      <w:marRight w:val="0"/>
      <w:marTop w:val="0"/>
      <w:marBottom w:val="0"/>
      <w:divBdr>
        <w:top w:val="none" w:sz="0" w:space="0" w:color="auto"/>
        <w:left w:val="none" w:sz="0" w:space="0" w:color="auto"/>
        <w:bottom w:val="none" w:sz="0" w:space="0" w:color="auto"/>
        <w:right w:val="none" w:sz="0" w:space="0" w:color="auto"/>
      </w:divBdr>
    </w:div>
    <w:div w:id="1464344994">
      <w:bodyDiv w:val="1"/>
      <w:marLeft w:val="0"/>
      <w:marRight w:val="0"/>
      <w:marTop w:val="0"/>
      <w:marBottom w:val="0"/>
      <w:divBdr>
        <w:top w:val="none" w:sz="0" w:space="0" w:color="auto"/>
        <w:left w:val="none" w:sz="0" w:space="0" w:color="auto"/>
        <w:bottom w:val="none" w:sz="0" w:space="0" w:color="auto"/>
        <w:right w:val="none" w:sz="0" w:space="0" w:color="auto"/>
      </w:divBdr>
    </w:div>
    <w:div w:id="1477335597">
      <w:bodyDiv w:val="1"/>
      <w:marLeft w:val="0"/>
      <w:marRight w:val="0"/>
      <w:marTop w:val="0"/>
      <w:marBottom w:val="0"/>
      <w:divBdr>
        <w:top w:val="none" w:sz="0" w:space="0" w:color="auto"/>
        <w:left w:val="none" w:sz="0" w:space="0" w:color="auto"/>
        <w:bottom w:val="none" w:sz="0" w:space="0" w:color="auto"/>
        <w:right w:val="none" w:sz="0" w:space="0" w:color="auto"/>
      </w:divBdr>
    </w:div>
    <w:div w:id="1485045790">
      <w:bodyDiv w:val="1"/>
      <w:marLeft w:val="0"/>
      <w:marRight w:val="0"/>
      <w:marTop w:val="0"/>
      <w:marBottom w:val="0"/>
      <w:divBdr>
        <w:top w:val="none" w:sz="0" w:space="0" w:color="auto"/>
        <w:left w:val="none" w:sz="0" w:space="0" w:color="auto"/>
        <w:bottom w:val="none" w:sz="0" w:space="0" w:color="auto"/>
        <w:right w:val="none" w:sz="0" w:space="0" w:color="auto"/>
      </w:divBdr>
    </w:div>
    <w:div w:id="1505632736">
      <w:bodyDiv w:val="1"/>
      <w:marLeft w:val="0"/>
      <w:marRight w:val="0"/>
      <w:marTop w:val="0"/>
      <w:marBottom w:val="0"/>
      <w:divBdr>
        <w:top w:val="none" w:sz="0" w:space="0" w:color="auto"/>
        <w:left w:val="none" w:sz="0" w:space="0" w:color="auto"/>
        <w:bottom w:val="none" w:sz="0" w:space="0" w:color="auto"/>
        <w:right w:val="none" w:sz="0" w:space="0" w:color="auto"/>
      </w:divBdr>
    </w:div>
    <w:div w:id="1611157804">
      <w:bodyDiv w:val="1"/>
      <w:marLeft w:val="0"/>
      <w:marRight w:val="0"/>
      <w:marTop w:val="0"/>
      <w:marBottom w:val="0"/>
      <w:divBdr>
        <w:top w:val="none" w:sz="0" w:space="0" w:color="auto"/>
        <w:left w:val="none" w:sz="0" w:space="0" w:color="auto"/>
        <w:bottom w:val="none" w:sz="0" w:space="0" w:color="auto"/>
        <w:right w:val="none" w:sz="0" w:space="0" w:color="auto"/>
      </w:divBdr>
    </w:div>
    <w:div w:id="1615164472">
      <w:bodyDiv w:val="1"/>
      <w:marLeft w:val="0"/>
      <w:marRight w:val="0"/>
      <w:marTop w:val="0"/>
      <w:marBottom w:val="0"/>
      <w:divBdr>
        <w:top w:val="none" w:sz="0" w:space="0" w:color="auto"/>
        <w:left w:val="none" w:sz="0" w:space="0" w:color="auto"/>
        <w:bottom w:val="none" w:sz="0" w:space="0" w:color="auto"/>
        <w:right w:val="none" w:sz="0" w:space="0" w:color="auto"/>
      </w:divBdr>
    </w:div>
    <w:div w:id="1671443978">
      <w:bodyDiv w:val="1"/>
      <w:marLeft w:val="0"/>
      <w:marRight w:val="0"/>
      <w:marTop w:val="0"/>
      <w:marBottom w:val="0"/>
      <w:divBdr>
        <w:top w:val="none" w:sz="0" w:space="0" w:color="auto"/>
        <w:left w:val="none" w:sz="0" w:space="0" w:color="auto"/>
        <w:bottom w:val="none" w:sz="0" w:space="0" w:color="auto"/>
        <w:right w:val="none" w:sz="0" w:space="0" w:color="auto"/>
      </w:divBdr>
    </w:div>
    <w:div w:id="1692029792">
      <w:bodyDiv w:val="1"/>
      <w:marLeft w:val="0"/>
      <w:marRight w:val="0"/>
      <w:marTop w:val="0"/>
      <w:marBottom w:val="0"/>
      <w:divBdr>
        <w:top w:val="none" w:sz="0" w:space="0" w:color="auto"/>
        <w:left w:val="none" w:sz="0" w:space="0" w:color="auto"/>
        <w:bottom w:val="none" w:sz="0" w:space="0" w:color="auto"/>
        <w:right w:val="none" w:sz="0" w:space="0" w:color="auto"/>
      </w:divBdr>
    </w:div>
    <w:div w:id="1836145109">
      <w:bodyDiv w:val="1"/>
      <w:marLeft w:val="0"/>
      <w:marRight w:val="0"/>
      <w:marTop w:val="0"/>
      <w:marBottom w:val="0"/>
      <w:divBdr>
        <w:top w:val="none" w:sz="0" w:space="0" w:color="auto"/>
        <w:left w:val="none" w:sz="0" w:space="0" w:color="auto"/>
        <w:bottom w:val="none" w:sz="0" w:space="0" w:color="auto"/>
        <w:right w:val="none" w:sz="0" w:space="0" w:color="auto"/>
      </w:divBdr>
    </w:div>
    <w:div w:id="1864856072">
      <w:bodyDiv w:val="1"/>
      <w:marLeft w:val="0"/>
      <w:marRight w:val="0"/>
      <w:marTop w:val="0"/>
      <w:marBottom w:val="0"/>
      <w:divBdr>
        <w:top w:val="none" w:sz="0" w:space="0" w:color="auto"/>
        <w:left w:val="none" w:sz="0" w:space="0" w:color="auto"/>
        <w:bottom w:val="none" w:sz="0" w:space="0" w:color="auto"/>
        <w:right w:val="none" w:sz="0" w:space="0" w:color="auto"/>
      </w:divBdr>
    </w:div>
    <w:div w:id="1871843679">
      <w:bodyDiv w:val="1"/>
      <w:marLeft w:val="0"/>
      <w:marRight w:val="0"/>
      <w:marTop w:val="0"/>
      <w:marBottom w:val="0"/>
      <w:divBdr>
        <w:top w:val="none" w:sz="0" w:space="0" w:color="auto"/>
        <w:left w:val="none" w:sz="0" w:space="0" w:color="auto"/>
        <w:bottom w:val="none" w:sz="0" w:space="0" w:color="auto"/>
        <w:right w:val="none" w:sz="0" w:space="0" w:color="auto"/>
      </w:divBdr>
    </w:div>
    <w:div w:id="1882396509">
      <w:bodyDiv w:val="1"/>
      <w:marLeft w:val="0"/>
      <w:marRight w:val="0"/>
      <w:marTop w:val="0"/>
      <w:marBottom w:val="0"/>
      <w:divBdr>
        <w:top w:val="none" w:sz="0" w:space="0" w:color="auto"/>
        <w:left w:val="none" w:sz="0" w:space="0" w:color="auto"/>
        <w:bottom w:val="none" w:sz="0" w:space="0" w:color="auto"/>
        <w:right w:val="none" w:sz="0" w:space="0" w:color="auto"/>
      </w:divBdr>
    </w:div>
    <w:div w:id="1904414598">
      <w:bodyDiv w:val="1"/>
      <w:marLeft w:val="0"/>
      <w:marRight w:val="0"/>
      <w:marTop w:val="0"/>
      <w:marBottom w:val="0"/>
      <w:divBdr>
        <w:top w:val="none" w:sz="0" w:space="0" w:color="auto"/>
        <w:left w:val="none" w:sz="0" w:space="0" w:color="auto"/>
        <w:bottom w:val="none" w:sz="0" w:space="0" w:color="auto"/>
        <w:right w:val="none" w:sz="0" w:space="0" w:color="auto"/>
      </w:divBdr>
      <w:divsChild>
        <w:div w:id="692733943">
          <w:marLeft w:val="0"/>
          <w:marRight w:val="0"/>
          <w:marTop w:val="0"/>
          <w:marBottom w:val="0"/>
          <w:divBdr>
            <w:top w:val="none" w:sz="0" w:space="0" w:color="auto"/>
            <w:left w:val="none" w:sz="0" w:space="0" w:color="auto"/>
            <w:bottom w:val="none" w:sz="0" w:space="0" w:color="auto"/>
            <w:right w:val="none" w:sz="0" w:space="0" w:color="auto"/>
          </w:divBdr>
          <w:divsChild>
            <w:div w:id="1668053041">
              <w:marLeft w:val="0"/>
              <w:marRight w:val="0"/>
              <w:marTop w:val="0"/>
              <w:marBottom w:val="0"/>
              <w:divBdr>
                <w:top w:val="none" w:sz="0" w:space="0" w:color="auto"/>
                <w:left w:val="none" w:sz="0" w:space="0" w:color="auto"/>
                <w:bottom w:val="none" w:sz="0" w:space="0" w:color="auto"/>
                <w:right w:val="none" w:sz="0" w:space="0" w:color="auto"/>
              </w:divBdr>
              <w:divsChild>
                <w:div w:id="1479496442">
                  <w:marLeft w:val="0"/>
                  <w:marRight w:val="0"/>
                  <w:marTop w:val="0"/>
                  <w:marBottom w:val="0"/>
                  <w:divBdr>
                    <w:top w:val="none" w:sz="0" w:space="0" w:color="auto"/>
                    <w:left w:val="none" w:sz="0" w:space="0" w:color="auto"/>
                    <w:bottom w:val="none" w:sz="0" w:space="0" w:color="auto"/>
                    <w:right w:val="none" w:sz="0" w:space="0" w:color="auto"/>
                  </w:divBdr>
                  <w:divsChild>
                    <w:div w:id="1893152741">
                      <w:marLeft w:val="0"/>
                      <w:marRight w:val="0"/>
                      <w:marTop w:val="0"/>
                      <w:marBottom w:val="0"/>
                      <w:divBdr>
                        <w:top w:val="none" w:sz="0" w:space="0" w:color="auto"/>
                        <w:left w:val="none" w:sz="0" w:space="0" w:color="auto"/>
                        <w:bottom w:val="none" w:sz="0" w:space="0" w:color="auto"/>
                        <w:right w:val="none" w:sz="0" w:space="0" w:color="auto"/>
                      </w:divBdr>
                      <w:divsChild>
                        <w:div w:id="1641812229">
                          <w:marLeft w:val="0"/>
                          <w:marRight w:val="0"/>
                          <w:marTop w:val="0"/>
                          <w:marBottom w:val="0"/>
                          <w:divBdr>
                            <w:top w:val="none" w:sz="0" w:space="0" w:color="auto"/>
                            <w:left w:val="none" w:sz="0" w:space="0" w:color="auto"/>
                            <w:bottom w:val="none" w:sz="0" w:space="0" w:color="auto"/>
                            <w:right w:val="none" w:sz="0" w:space="0" w:color="auto"/>
                          </w:divBdr>
                          <w:divsChild>
                            <w:div w:id="275867508">
                              <w:marLeft w:val="0"/>
                              <w:marRight w:val="0"/>
                              <w:marTop w:val="0"/>
                              <w:marBottom w:val="0"/>
                              <w:divBdr>
                                <w:top w:val="none" w:sz="0" w:space="0" w:color="auto"/>
                                <w:left w:val="none" w:sz="0" w:space="0" w:color="auto"/>
                                <w:bottom w:val="none" w:sz="0" w:space="0" w:color="auto"/>
                                <w:right w:val="none" w:sz="0" w:space="0" w:color="auto"/>
                              </w:divBdr>
                              <w:divsChild>
                                <w:div w:id="1272280316">
                                  <w:marLeft w:val="0"/>
                                  <w:marRight w:val="0"/>
                                  <w:marTop w:val="0"/>
                                  <w:marBottom w:val="0"/>
                                  <w:divBdr>
                                    <w:top w:val="none" w:sz="0" w:space="0" w:color="auto"/>
                                    <w:left w:val="none" w:sz="0" w:space="0" w:color="auto"/>
                                    <w:bottom w:val="none" w:sz="0" w:space="0" w:color="auto"/>
                                    <w:right w:val="none" w:sz="0" w:space="0" w:color="auto"/>
                                  </w:divBdr>
                                  <w:divsChild>
                                    <w:div w:id="76788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5332883">
      <w:bodyDiv w:val="1"/>
      <w:marLeft w:val="0"/>
      <w:marRight w:val="0"/>
      <w:marTop w:val="0"/>
      <w:marBottom w:val="0"/>
      <w:divBdr>
        <w:top w:val="none" w:sz="0" w:space="0" w:color="auto"/>
        <w:left w:val="none" w:sz="0" w:space="0" w:color="auto"/>
        <w:bottom w:val="none" w:sz="0" w:space="0" w:color="auto"/>
        <w:right w:val="none" w:sz="0" w:space="0" w:color="auto"/>
      </w:divBdr>
    </w:div>
    <w:div w:id="1946495452">
      <w:bodyDiv w:val="1"/>
      <w:marLeft w:val="0"/>
      <w:marRight w:val="0"/>
      <w:marTop w:val="0"/>
      <w:marBottom w:val="0"/>
      <w:divBdr>
        <w:top w:val="none" w:sz="0" w:space="0" w:color="auto"/>
        <w:left w:val="none" w:sz="0" w:space="0" w:color="auto"/>
        <w:bottom w:val="none" w:sz="0" w:space="0" w:color="auto"/>
        <w:right w:val="none" w:sz="0" w:space="0" w:color="auto"/>
      </w:divBdr>
    </w:div>
    <w:div w:id="2022394820">
      <w:bodyDiv w:val="1"/>
      <w:marLeft w:val="0"/>
      <w:marRight w:val="0"/>
      <w:marTop w:val="0"/>
      <w:marBottom w:val="0"/>
      <w:divBdr>
        <w:top w:val="none" w:sz="0" w:space="0" w:color="auto"/>
        <w:left w:val="none" w:sz="0" w:space="0" w:color="auto"/>
        <w:bottom w:val="none" w:sz="0" w:space="0" w:color="auto"/>
        <w:right w:val="none" w:sz="0" w:space="0" w:color="auto"/>
      </w:divBdr>
    </w:div>
    <w:div w:id="2031174682">
      <w:bodyDiv w:val="1"/>
      <w:marLeft w:val="0"/>
      <w:marRight w:val="0"/>
      <w:marTop w:val="0"/>
      <w:marBottom w:val="0"/>
      <w:divBdr>
        <w:top w:val="none" w:sz="0" w:space="0" w:color="auto"/>
        <w:left w:val="none" w:sz="0" w:space="0" w:color="auto"/>
        <w:bottom w:val="none" w:sz="0" w:space="0" w:color="auto"/>
        <w:right w:val="none" w:sz="0" w:space="0" w:color="auto"/>
      </w:divBdr>
    </w:div>
    <w:div w:id="2068868801">
      <w:bodyDiv w:val="1"/>
      <w:marLeft w:val="0"/>
      <w:marRight w:val="0"/>
      <w:marTop w:val="0"/>
      <w:marBottom w:val="0"/>
      <w:divBdr>
        <w:top w:val="none" w:sz="0" w:space="0" w:color="auto"/>
        <w:left w:val="none" w:sz="0" w:space="0" w:color="auto"/>
        <w:bottom w:val="none" w:sz="0" w:space="0" w:color="auto"/>
        <w:right w:val="none" w:sz="0" w:space="0" w:color="auto"/>
      </w:divBdr>
    </w:div>
    <w:div w:id="21243820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enrolment.adoption@smartdcc.co.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consultations@smartdcc.co.u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smartenergycodecompany.co.uk/modifications/dno-power-outage-alerts/"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bing.com/search?q=DCC+charging+methodology&amp;cvid=6c489255e36543adb4a4c3693d0015d3&amp;gs_lcrp=EgZjaHJvbWUyBggAEEUYOTIICAEQ6QcY_FXSAQg2Mzk0ajBqMagCALACAA&amp;FORM=ANAB01&amp;PC=U531" TargetMode="External"/></Relationships>
</file>

<file path=word/theme/theme1.xml><?xml version="1.0" encoding="utf-8"?>
<a:theme xmlns:a="http://schemas.openxmlformats.org/drawingml/2006/main" name="DCC_Ofice Theme">
  <a:themeElements>
    <a:clrScheme name="Custom 5">
      <a:dk1>
        <a:srgbClr val="1F144A"/>
      </a:dk1>
      <a:lt1>
        <a:srgbClr val="FFFFFF"/>
      </a:lt1>
      <a:dk2>
        <a:srgbClr val="505253"/>
      </a:dk2>
      <a:lt2>
        <a:srgbClr val="9CA299"/>
      </a:lt2>
      <a:accent1>
        <a:srgbClr val="5C2071"/>
      </a:accent1>
      <a:accent2>
        <a:srgbClr val="861889"/>
      </a:accent2>
      <a:accent3>
        <a:srgbClr val="C51B58"/>
      </a:accent3>
      <a:accent4>
        <a:srgbClr val="1F144A"/>
      </a:accent4>
      <a:accent5>
        <a:srgbClr val="505253"/>
      </a:accent5>
      <a:accent6>
        <a:srgbClr val="9CA299"/>
      </a:accent6>
      <a:hlink>
        <a:srgbClr val="5C2071"/>
      </a:hlink>
      <a:folHlink>
        <a:srgbClr val="BF1B58"/>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xfrm>
          <a:off x="0" y="0"/>
          <a:ext cx="1" cy="1"/>
        </a:xfrm>
        <a:custGeom>
          <a:avLst/>
          <a:gdLst/>
          <a:ahLst/>
          <a:cxnLst/>
          <a:rect l="0" t="0" r="0" b="0"/>
          <a:pathLst/>
        </a:custGeom>
        <a:solidFill>
          <a:srgbClr val="FF9900"/>
        </a:solidFill>
        <a:ln w="9525" cap="flat" cmpd="sng" algn="ctr">
          <a:solidFill>
            <a:srgbClr val="969696"/>
          </a:solidFill>
          <a:prstDash val="sysDot"/>
          <a:round/>
          <a:headEnd type="none" w="med" len="med"/>
          <a:tailEnd type="none" w="med" len="med"/>
        </a:ln>
        <a:effectLst/>
      </a:spPr>
      <a:bodyPr vert="horz" wrap="none" lIns="91440" tIns="45720" rIns="91440" bIns="45720" numCol="1" anchor="ctr" anchorCtr="0" compatLnSpc="1">
        <a:prstTxWarp prst="textNoShape">
          <a:avLst/>
        </a:prstTxWarp>
      </a:bodyPr>
      <a:lstStyle>
        <a:defPPr marL="0" marR="0" indent="0" algn="ctr" defTabSz="914400" rtl="0" eaLnBrk="0" fontAlgn="base" latinLnBrk="0" hangingPunct="0">
          <a:lnSpc>
            <a:spcPct val="100000"/>
          </a:lnSpc>
          <a:spcBef>
            <a:spcPct val="0"/>
          </a:spcBef>
          <a:spcAft>
            <a:spcPct val="0"/>
          </a:spcAft>
          <a:buClrTx/>
          <a:buSzTx/>
          <a:buFontTx/>
          <a:buNone/>
          <a:tabLst/>
          <a:defRPr kumimoji="0" lang="en-US" sz="2600" b="1" i="0" u="none" strike="noStrike" cap="none" normalizeH="0" baseline="0" smtClean="0">
            <a:ln>
              <a:noFill/>
            </a:ln>
            <a:solidFill>
              <a:schemeClr val="bg1"/>
            </a:solidFill>
            <a:effectLst/>
            <a:latin typeface="Arial" pitchFamily="34" charset="0"/>
            <a:ea typeface="ＭＳ Ｐゴシック"/>
            <a:cs typeface="ＭＳ Ｐゴシック"/>
          </a:defRPr>
        </a:defPPr>
      </a:lstStyle>
    </a:spDef>
    <a:lnDef>
      <a:spPr bwMode="auto">
        <a:xfrm>
          <a:off x="0" y="0"/>
          <a:ext cx="1" cy="1"/>
        </a:xfrm>
        <a:custGeom>
          <a:avLst/>
          <a:gdLst/>
          <a:ahLst/>
          <a:cxnLst/>
          <a:rect l="0" t="0" r="0" b="0"/>
          <a:pathLst/>
        </a:custGeom>
        <a:solidFill>
          <a:srgbClr val="FF9900"/>
        </a:solidFill>
        <a:ln w="9525" cap="flat" cmpd="sng" algn="ctr">
          <a:solidFill>
            <a:srgbClr val="969696"/>
          </a:solidFill>
          <a:prstDash val="sysDot"/>
          <a:round/>
          <a:headEnd type="none" w="med" len="med"/>
          <a:tailEnd type="none" w="med" len="med"/>
        </a:ln>
        <a:effectLst/>
      </a:spPr>
      <a:bodyPr vert="horz" wrap="none" lIns="91440" tIns="45720" rIns="91440" bIns="45720" numCol="1" anchor="ctr" anchorCtr="0" compatLnSpc="1">
        <a:prstTxWarp prst="textNoShape">
          <a:avLst/>
        </a:prstTxWarp>
      </a:bodyPr>
      <a:lstStyle>
        <a:defPPr marL="0" marR="0" indent="0" algn="ctr" defTabSz="914400" rtl="0" eaLnBrk="0" fontAlgn="base" latinLnBrk="0" hangingPunct="0">
          <a:lnSpc>
            <a:spcPct val="100000"/>
          </a:lnSpc>
          <a:spcBef>
            <a:spcPct val="0"/>
          </a:spcBef>
          <a:spcAft>
            <a:spcPct val="0"/>
          </a:spcAft>
          <a:buClrTx/>
          <a:buSzTx/>
          <a:buFontTx/>
          <a:buNone/>
          <a:tabLst/>
          <a:defRPr kumimoji="0" lang="en-US" sz="2600" b="1" i="0" u="none" strike="noStrike" cap="none" normalizeH="0" baseline="0" smtClean="0">
            <a:ln>
              <a:noFill/>
            </a:ln>
            <a:solidFill>
              <a:schemeClr val="bg1"/>
            </a:solidFill>
            <a:effectLst/>
            <a:latin typeface="Arial" pitchFamily="34" charset="0"/>
            <a:ea typeface="ＭＳ Ｐゴシック"/>
            <a:cs typeface="ＭＳ Ｐゴシック"/>
          </a:defRPr>
        </a:defPPr>
      </a:lstStyle>
    </a:lnDef>
  </a:objectDefaults>
  <a:extraClrSchemeLst>
    <a:extraClrScheme>
      <a:clrScheme name="Capita Slide Master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Capita Slide Master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Capita Slide Master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Capita Slide Master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Capita Slide Master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Capita Slide Master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Capita Slide Master 7">
        <a:dk1>
          <a:srgbClr val="5C1F00"/>
        </a:dk1>
        <a:lt1>
          <a:srgbClr val="FFFFFF"/>
        </a:lt1>
        <a:dk2>
          <a:srgbClr val="800000"/>
        </a:dk2>
        <a:lt2>
          <a:srgbClr val="DFD293"/>
        </a:lt2>
        <a:accent1>
          <a:srgbClr val="CC3300"/>
        </a:accent1>
        <a:accent2>
          <a:srgbClr val="BE7960"/>
        </a:accent2>
        <a:accent3>
          <a:srgbClr val="C0AAAA"/>
        </a:accent3>
        <a:accent4>
          <a:srgbClr val="DADADA"/>
        </a:accent4>
        <a:accent5>
          <a:srgbClr val="E2ADAA"/>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Capita Slide Master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Capita Slide Master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Capita Slide Master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Capita Slide Master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Capita Slide Master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
      <a:clrScheme name="Capita Slide Master 13">
        <a:dk1>
          <a:srgbClr val="005B82"/>
        </a:dk1>
        <a:lt1>
          <a:srgbClr val="FFFFFF"/>
        </a:lt1>
        <a:dk2>
          <a:srgbClr val="3DB7E4"/>
        </a:dk2>
        <a:lt2>
          <a:srgbClr val="C7C2BA"/>
        </a:lt2>
        <a:accent1>
          <a:srgbClr val="3DB7E4"/>
        </a:accent1>
        <a:accent2>
          <a:srgbClr val="F0AB00"/>
        </a:accent2>
        <a:accent3>
          <a:srgbClr val="FFFFFF"/>
        </a:accent3>
        <a:accent4>
          <a:srgbClr val="004C6E"/>
        </a:accent4>
        <a:accent5>
          <a:srgbClr val="AFD8EF"/>
        </a:accent5>
        <a:accent6>
          <a:srgbClr val="D99B00"/>
        </a:accent6>
        <a:hlink>
          <a:srgbClr val="631D76"/>
        </a:hlink>
        <a:folHlink>
          <a:srgbClr val="008566"/>
        </a:folHlink>
      </a:clrScheme>
      <a:clrMap bg1="lt1" tx1="dk1" bg2="lt2" tx2="dk2" accent1="accent1" accent2="accent2" accent3="accent3" accent4="accent4" accent5="accent5" accent6="accent6" hlink="hlink" folHlink="folHlink"/>
    </a:extraClrScheme>
    <a:extraClrScheme>
      <a:clrScheme name="Capita Slide Master 14">
        <a:dk1>
          <a:srgbClr val="005B82"/>
        </a:dk1>
        <a:lt1>
          <a:srgbClr val="FFFFFF"/>
        </a:lt1>
        <a:dk2>
          <a:srgbClr val="005B82"/>
        </a:dk2>
        <a:lt2>
          <a:srgbClr val="C7C2BA"/>
        </a:lt2>
        <a:accent1>
          <a:srgbClr val="3DB7E4"/>
        </a:accent1>
        <a:accent2>
          <a:srgbClr val="F0AB00"/>
        </a:accent2>
        <a:accent3>
          <a:srgbClr val="FFFFFF"/>
        </a:accent3>
        <a:accent4>
          <a:srgbClr val="004C6E"/>
        </a:accent4>
        <a:accent5>
          <a:srgbClr val="AFD8EF"/>
        </a:accent5>
        <a:accent6>
          <a:srgbClr val="D99B00"/>
        </a:accent6>
        <a:hlink>
          <a:srgbClr val="631D76"/>
        </a:hlink>
        <a:folHlink>
          <a:srgbClr val="008566"/>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506c0bb-1327-4a28-8c99-5f231145fa20" xsi:nil="true"/>
    <SmartDCCDocumentTypeTaxHTField0 xmlns="a506c0bb-1327-4a28-8c99-5f231145fa20">
      <Terms xmlns="http://schemas.microsoft.com/office/infopath/2007/PartnerControls"/>
    </SmartDCCDocumentTypeTaxHTField0>
    <SmartDCCSecurityClassificationTaxHTField0 xmlns="a506c0bb-1327-4a28-8c99-5f231145fa20">
      <Terms xmlns="http://schemas.microsoft.com/office/infopath/2007/PartnerControls"/>
    </SmartDCCSecurityClassificationTaxHTField0>
    <DCCReleaseTaxHTField0 xmlns="a506c0bb-1327-4a28-8c99-5f231145fa20">
      <Terms xmlns="http://schemas.microsoft.com/office/infopath/2007/PartnerControls"/>
    </DCCReleaseTaxHTField0>
    <DCCDocumentStatusTaxHTField0 xmlns="a506c0bb-1327-4a28-8c99-5f231145fa20">
      <Terms xmlns="http://schemas.microsoft.com/office/infopath/2007/PartnerControls"/>
    </DCCDocumentStatusTaxHTField0>
    <DCCDepartmentTaxHTField0 xmlns="a506c0bb-1327-4a28-8c99-5f231145fa20">
      <Terms xmlns="http://schemas.microsoft.com/office/infopath/2007/PartnerControls"/>
    </DCCDepartmentTaxHTField0>
    <_dlc_DocId xmlns="a506c0bb-1327-4a28-8c99-5f231145fa20">NDYQVYFD76VK-1947674797-327</_dlc_DocId>
    <_dlc_DocIdUrl xmlns="a506c0bb-1327-4a28-8c99-5f231145fa20">
      <Url>https://smartdcc.sharepoint.com/sites/DCCChargingReview/_layouts/15/DocIdRedir.aspx?ID=NDYQVYFD76VK-1947674797-327</Url>
      <Description>NDYQVYFD76VK-1947674797-327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CC Document" ma:contentTypeID="0x0101003D99FF4BEE06314F802DDB72832DC48E006063EB708B9A5C458116616B5B466FF0" ma:contentTypeVersion="23" ma:contentTypeDescription="" ma:contentTypeScope="" ma:versionID="3723d86d2ac907fbac1c354ee70fc54e">
  <xsd:schema xmlns:xsd="http://www.w3.org/2001/XMLSchema" xmlns:xs="http://www.w3.org/2001/XMLSchema" xmlns:p="http://schemas.microsoft.com/office/2006/metadata/properties" xmlns:ns2="a506c0bb-1327-4a28-8c99-5f231145fa20" xmlns:ns3="da744a71-2330-474e-a486-0b4f01e3938d" targetNamespace="http://schemas.microsoft.com/office/2006/metadata/properties" ma:root="true" ma:fieldsID="6ce56e543be53417dfef676679789713" ns2:_="" ns3:_="">
    <xsd:import namespace="a506c0bb-1327-4a28-8c99-5f231145fa20"/>
    <xsd:import namespace="da744a71-2330-474e-a486-0b4f01e3938d"/>
    <xsd:element name="properties">
      <xsd:complexType>
        <xsd:sequence>
          <xsd:element name="documentManagement">
            <xsd:complexType>
              <xsd:all>
                <xsd:element ref="ns2:DCCDepartmentTaxHTField0" minOccurs="0"/>
                <xsd:element ref="ns2:SmartDCCSecurityClassificationTaxHTField0" minOccurs="0"/>
                <xsd:element ref="ns2:DCCReleaseTaxHTField0" minOccurs="0"/>
                <xsd:element ref="ns2:DCCDocumentStatusTaxHTField0" minOccurs="0"/>
                <xsd:element ref="ns2:SmartDCCDocumentTypeTaxHTField0"/>
                <xsd:element ref="ns2:TaxCatchAllLabel" minOccurs="0"/>
                <xsd:element ref="ns2:TaxCatchAll" minOccurs="0"/>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06c0bb-1327-4a28-8c99-5f231145fa20" elementFormDefault="qualified">
    <xsd:import namespace="http://schemas.microsoft.com/office/2006/documentManagement/types"/>
    <xsd:import namespace="http://schemas.microsoft.com/office/infopath/2007/PartnerControls"/>
    <xsd:element name="DCCDepartmentTaxHTField0" ma:index="8" ma:taxonomy="true" ma:internalName="DCCDepartmentTaxHTField0" ma:taxonomyFieldName="DCCDepartment" ma:displayName="Department" ma:readOnly="false" ma:default="" ma:fieldId="{b9f9ec24-0bfc-45a9-abdd-d8372c6d0d69}" ma:sspId="0e1c6c84-f403-4bbd-88d7-452781fd505b" ma:termSetId="0f91fb79-d7ea-4103-af5c-528c8aa72ced" ma:anchorId="00000000-0000-0000-0000-000000000000" ma:open="false" ma:isKeyword="false">
      <xsd:complexType>
        <xsd:sequence>
          <xsd:element ref="pc:Terms" minOccurs="0" maxOccurs="1"/>
        </xsd:sequence>
      </xsd:complexType>
    </xsd:element>
    <xsd:element name="SmartDCCSecurityClassificationTaxHTField0" ma:index="10" ma:taxonomy="true" ma:internalName="SmartDCCSecurityClassificationTaxHTField0" ma:taxonomyFieldName="SmartDCCSecurityClassification" ma:displayName="Security Classification" ma:readOnly="false" ma:default="" ma:fieldId="{3e43b1f9-0d18-44d2-bac5-2e9e8a2947a1}" ma:sspId="0e1c6c84-f403-4bbd-88d7-452781fd505b" ma:termSetId="59549b20-0bdd-481f-91a7-af2e6fd79198" ma:anchorId="00000000-0000-0000-0000-000000000000" ma:open="false" ma:isKeyword="false">
      <xsd:complexType>
        <xsd:sequence>
          <xsd:element ref="pc:Terms" minOccurs="0" maxOccurs="1"/>
        </xsd:sequence>
      </xsd:complexType>
    </xsd:element>
    <xsd:element name="DCCReleaseTaxHTField0" ma:index="12" nillable="true" ma:taxonomy="true" ma:internalName="DCCReleaseTaxHTField0" ma:taxonomyFieldName="DCCRelease" ma:displayName="Release" ma:default="" ma:fieldId="{0b72bca7-9f10-45b0-9533-710b1462c703}" ma:sspId="0e1c6c84-f403-4bbd-88d7-452781fd505b" ma:termSetId="36c335b6-936d-4a43-84c0-b60786099ded" ma:anchorId="00000000-0000-0000-0000-000000000000" ma:open="false" ma:isKeyword="false">
      <xsd:complexType>
        <xsd:sequence>
          <xsd:element ref="pc:Terms" minOccurs="0" maxOccurs="1"/>
        </xsd:sequence>
      </xsd:complexType>
    </xsd:element>
    <xsd:element name="DCCDocumentStatusTaxHTField0" ma:index="14" ma:taxonomy="true" ma:internalName="DCCDocumentStatusTaxHTField0" ma:taxonomyFieldName="DCCDocumentStatus" ma:displayName="Document Status" ma:readOnly="false" ma:default="" ma:fieldId="{f5f46dc2-fe38-46ff-9a0e-9e05826f4b0d}" ma:sspId="0e1c6c84-f403-4bbd-88d7-452781fd505b" ma:termSetId="ebae76e0-a2da-4e00-b8fe-cb90c59b09bc" ma:anchorId="00000000-0000-0000-0000-000000000000" ma:open="false" ma:isKeyword="false">
      <xsd:complexType>
        <xsd:sequence>
          <xsd:element ref="pc:Terms" minOccurs="0" maxOccurs="1"/>
        </xsd:sequence>
      </xsd:complexType>
    </xsd:element>
    <xsd:element name="SmartDCCDocumentTypeTaxHTField0" ma:index="16" ma:taxonomy="true" ma:internalName="SmartDCCDocumentTypeTaxHTField0" ma:taxonomyFieldName="SmartDCCDocumentType" ma:displayName="Document Type" ma:readOnly="false" ma:default="" ma:fieldId="{6411331f-21b0-45cd-a1f2-c0d9013dd4f1}" ma:taxonomyMulti="true" ma:sspId="0e1c6c84-f403-4bbd-88d7-452781fd505b" ma:termSetId="07111426-f3e4-4c85-84d5-b8db9132d477"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1b9ce115-9d0e-47ac-8770-d7519d735bf8}" ma:internalName="TaxCatchAllLabel" ma:readOnly="true" ma:showField="CatchAllDataLabel" ma:web="a506c0bb-1327-4a28-8c99-5f231145fa20">
      <xsd:complexType>
        <xsd:complexContent>
          <xsd:extension base="dms:MultiChoiceLookup">
            <xsd:sequence>
              <xsd:element name="Value" type="dms:Lookup" maxOccurs="unbounded" minOccurs="0" nillable="true"/>
            </xsd:sequence>
          </xsd:extension>
        </xsd:complexContent>
      </xsd:complexType>
    </xsd:element>
    <xsd:element name="TaxCatchAll" ma:index="19" nillable="true" ma:displayName="Taxonomy Catch All Column" ma:hidden="true" ma:list="{1b9ce115-9d0e-47ac-8770-d7519d735bf8}" ma:internalName="TaxCatchAll" ma:showField="CatchAllData" ma:web="a506c0bb-1327-4a28-8c99-5f231145fa20">
      <xsd:complexType>
        <xsd:complexContent>
          <xsd:extension base="dms:MultiChoiceLookup">
            <xsd:sequence>
              <xsd:element name="Value" type="dms:Lookup" maxOccurs="unbounded" minOccurs="0" nillable="true"/>
            </xsd:sequence>
          </xsd:extension>
        </xsd:complexContent>
      </xsd:complexType>
    </xsd:element>
    <xsd:element name="_dlc_DocId" ma:index="20" nillable="true" ma:displayName="Document ID Value" ma:description="The value of the document ID assigned to this item." ma:indexed="true" ma:internalName="_dlc_DocId" ma:readOnly="true">
      <xsd:simpleType>
        <xsd:restriction base="dms:Text"/>
      </xsd:simpleType>
    </xsd:element>
    <xsd:element name="_dlc_DocIdUrl" ma:index="2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a744a71-2330-474e-a486-0b4f01e3938d" elementFormDefault="qualified">
    <xsd:import namespace="http://schemas.microsoft.com/office/2006/documentManagement/types"/>
    <xsd:import namespace="http://schemas.microsoft.com/office/infopath/2007/PartnerControls"/>
    <xsd:element name="MediaServiceMetadata" ma:index="23" nillable="true" ma:displayName="MediaServiceMetadata" ma:hidden="true" ma:internalName="MediaServiceMetadata" ma:readOnly="true">
      <xsd:simpleType>
        <xsd:restriction base="dms:Note"/>
      </xsd:simpleType>
    </xsd:element>
    <xsd:element name="MediaServiceFastMetadata" ma:index="24" nillable="true" ma:displayName="MediaServiceFastMetadata" ma:hidden="true" ma:internalName="MediaServiceFastMetadata"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E95E48-08DB-4E66-858F-55FEE9C22590}">
  <ds:schemaRefs>
    <ds:schemaRef ds:uri="http://schemas.microsoft.com/sharepoint/v3/contenttype/forms"/>
  </ds:schemaRefs>
</ds:datastoreItem>
</file>

<file path=customXml/itemProps2.xml><?xml version="1.0" encoding="utf-8"?>
<ds:datastoreItem xmlns:ds="http://schemas.openxmlformats.org/officeDocument/2006/customXml" ds:itemID="{C95F1151-4E89-4ECC-8C78-135F0C8F283F}">
  <ds:schemaRefs>
    <ds:schemaRef ds:uri="http://schemas.openxmlformats.org/officeDocument/2006/bibliography"/>
  </ds:schemaRefs>
</ds:datastoreItem>
</file>

<file path=customXml/itemProps3.xml><?xml version="1.0" encoding="utf-8"?>
<ds:datastoreItem xmlns:ds="http://schemas.openxmlformats.org/officeDocument/2006/customXml" ds:itemID="{2073235F-EE2F-43B9-8DED-28244F9AF450}">
  <ds:schemaRefs>
    <ds:schemaRef ds:uri="http://schemas.microsoft.com/office/2006/metadata/properties"/>
    <ds:schemaRef ds:uri="http://schemas.microsoft.com/office/infopath/2007/PartnerControls"/>
    <ds:schemaRef ds:uri="a506c0bb-1327-4a28-8c99-5f231145fa20"/>
  </ds:schemaRefs>
</ds:datastoreItem>
</file>

<file path=customXml/itemProps4.xml><?xml version="1.0" encoding="utf-8"?>
<ds:datastoreItem xmlns:ds="http://schemas.openxmlformats.org/officeDocument/2006/customXml" ds:itemID="{CC2FCC4D-ABDB-4AED-92D7-FDBC474C1106}">
  <ds:schemaRefs>
    <ds:schemaRef ds:uri="http://schemas.microsoft.com/sharepoint/events"/>
  </ds:schemaRefs>
</ds:datastoreItem>
</file>

<file path=customXml/itemProps5.xml><?xml version="1.0" encoding="utf-8"?>
<ds:datastoreItem xmlns:ds="http://schemas.openxmlformats.org/officeDocument/2006/customXml" ds:itemID="{4A26A19E-AAA2-4C0D-983A-C79AFDDB9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06c0bb-1327-4a28-8c99-5f231145fa20"/>
    <ds:schemaRef ds:uri="da744a71-2330-474e-a486-0b4f01e39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4091</Words>
  <Characters>23323</Characters>
  <Application>Microsoft Office Word</Application>
  <DocSecurity>0</DocSecurity>
  <Lines>194</Lines>
  <Paragraphs>54</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Summary Information</vt:lpstr>
      <vt:lpstr>Responses to the DP218 RFI questions</vt:lpstr>
      <vt:lpstr>    Questions on key drivers for change and guiding principles</vt:lpstr>
      <vt:lpstr>    Questions on scope of charges under review</vt:lpstr>
      <vt:lpstr>    Questions on uniform charging</vt:lpstr>
      <vt:lpstr>    Questions on the charging basis</vt:lpstr>
      <vt:lpstr>    Questions on data capture requirements on future demand</vt:lpstr>
      <vt:lpstr>    Questions on setting a materiality threshold</vt:lpstr>
      <vt:lpstr>    Questions on ‘Read and Store’ capabilities</vt:lpstr>
      <vt:lpstr>    Questions on charging option 1</vt:lpstr>
      <vt:lpstr>    Questions on charging option 2</vt:lpstr>
      <vt:lpstr>    Questions on the approach to banding under charging option 3</vt:lpstr>
      <vt:lpstr>    Questions on charging option 3</vt:lpstr>
      <vt:lpstr>    Questions on charging option 4</vt:lpstr>
      <vt:lpstr>    Questions on charging option 5</vt:lpstr>
      <vt:lpstr>    Overarching questions (all charging options)</vt:lpstr>
    </vt:vector>
  </TitlesOfParts>
  <Company/>
  <LinksUpToDate>false</LinksUpToDate>
  <CharactersWithSpaces>27360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2024-06-25T07:35:00Z</dcterms:created>
  <dcterms:modified xsi:type="dcterms:W3CDTF">2024-07-29T13:51:00Z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f620784-d3c8-4627-b614-0de6b80cc1d8_Enabled">
    <vt:lpwstr>true</vt:lpwstr>
  </property>
  <property fmtid="{D5CDD505-2E9C-101B-9397-08002B2CF9AE}" pid="3" name="MSIP_Label_6f620784-d3c8-4627-b614-0de6b80cc1d8_SetDate">
    <vt:lpwstr>2022-08-04T08:00:12Z</vt:lpwstr>
  </property>
  <property fmtid="{D5CDD505-2E9C-101B-9397-08002B2CF9AE}" pid="4" name="MSIP_Label_6f620784-d3c8-4627-b614-0de6b80cc1d8_Method">
    <vt:lpwstr>Privileged</vt:lpwstr>
  </property>
  <property fmtid="{D5CDD505-2E9C-101B-9397-08002B2CF9AE}" pid="5" name="MSIP_Label_6f620784-d3c8-4627-b614-0de6b80cc1d8_Name">
    <vt:lpwstr>DCC Controlled</vt:lpwstr>
  </property>
  <property fmtid="{D5CDD505-2E9C-101B-9397-08002B2CF9AE}" pid="6" name="MSIP_Label_6f620784-d3c8-4627-b614-0de6b80cc1d8_SiteId">
    <vt:lpwstr>d77ea84a-f7fd-4928-b8a3-64763b0a7710</vt:lpwstr>
  </property>
  <property fmtid="{D5CDD505-2E9C-101B-9397-08002B2CF9AE}" pid="7" name="MSIP_Label_6f620784-d3c8-4627-b614-0de6b80cc1d8_ActionId">
    <vt:lpwstr>3dfea34a-7d45-43e0-87aa-eba7226cc0b7</vt:lpwstr>
  </property>
  <property fmtid="{D5CDD505-2E9C-101B-9397-08002B2CF9AE}" pid="8" name="MSIP_Label_6f620784-d3c8-4627-b614-0de6b80cc1d8_ContentBits">
    <vt:lpwstr>3</vt:lpwstr>
  </property>
  <property fmtid="{D5CDD505-2E9C-101B-9397-08002B2CF9AE}" pid="9" name="ContentTypeId">
    <vt:lpwstr>0x0101003D99FF4BEE06314F802DDB72832DC48E006063EB708B9A5C458116616B5B466FF0</vt:lpwstr>
  </property>
  <property fmtid="{D5CDD505-2E9C-101B-9397-08002B2CF9AE}" pid="10" name="Order">
    <vt:r8>400</vt:r8>
  </property>
  <property fmtid="{D5CDD505-2E9C-101B-9397-08002B2CF9AE}" pid="11" name="xd_Signature">
    <vt:bool>false</vt:bool>
  </property>
  <property fmtid="{D5CDD505-2E9C-101B-9397-08002B2CF9AE}" pid="12" name="xd_ProgID">
    <vt:lpwstr/>
  </property>
  <property fmtid="{D5CDD505-2E9C-101B-9397-08002B2CF9AE}" pid="13" name="_ExtendedDescription">
    <vt:lpwstr/>
  </property>
  <property fmtid="{D5CDD505-2E9C-101B-9397-08002B2CF9AE}" pid="14" name="TriggerFlowInfo">
    <vt:lpwstr/>
  </property>
  <property fmtid="{D5CDD505-2E9C-101B-9397-08002B2CF9AE}" pid="15" name="ComplianceAssetId">
    <vt:lpwstr/>
  </property>
  <property fmtid="{D5CDD505-2E9C-101B-9397-08002B2CF9AE}" pid="16" name="TemplateUrl">
    <vt:lpwstr/>
  </property>
  <property fmtid="{D5CDD505-2E9C-101B-9397-08002B2CF9AE}" pid="17" name="MediaServiceImageTags">
    <vt:lpwstr/>
  </property>
  <property fmtid="{D5CDD505-2E9C-101B-9397-08002B2CF9AE}" pid="18" name="_dlc_DocIdItemGuid">
    <vt:lpwstr>9a8d56da-4074-4bbf-8590-88a3b1058de8</vt:lpwstr>
  </property>
  <property fmtid="{D5CDD505-2E9C-101B-9397-08002B2CF9AE}" pid="19" name="SmartDCCDocumentType">
    <vt:lpwstr/>
  </property>
  <property fmtid="{D5CDD505-2E9C-101B-9397-08002B2CF9AE}" pid="20" name="SmartDCCSecurityClassification">
    <vt:lpwstr/>
  </property>
  <property fmtid="{D5CDD505-2E9C-101B-9397-08002B2CF9AE}" pid="21" name="DCCRelease">
    <vt:lpwstr/>
  </property>
  <property fmtid="{D5CDD505-2E9C-101B-9397-08002B2CF9AE}" pid="22" name="DCCDocumentStatus">
    <vt:lpwstr/>
  </property>
  <property fmtid="{D5CDD505-2E9C-101B-9397-08002B2CF9AE}" pid="23" name="DCCDepartment">
    <vt:lpwstr/>
  </property>
</Properties>
</file>